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1C6" w:rsidRPr="006C31FC" w:rsidRDefault="00843B80" w:rsidP="006C31FC">
      <w:pPr>
        <w:pStyle w:val="ConsPlusNormal"/>
        <w:widowControl/>
        <w:ind w:firstLine="0"/>
        <w:jc w:val="center"/>
        <w:rPr>
          <w:rFonts w:cs="Arial"/>
          <w:b/>
          <w:bCs/>
          <w:sz w:val="32"/>
          <w:szCs w:val="32"/>
        </w:rPr>
      </w:pPr>
      <w:r w:rsidRPr="006C31FC">
        <w:rPr>
          <w:rFonts w:cs="Arial"/>
          <w:b/>
          <w:bCs/>
          <w:sz w:val="32"/>
          <w:szCs w:val="32"/>
        </w:rPr>
        <w:t>АДМИНИСТРАЦИЯ</w:t>
      </w:r>
    </w:p>
    <w:p w:rsidR="006C31FC" w:rsidRPr="006C31FC" w:rsidRDefault="00843B80" w:rsidP="006C31FC">
      <w:pPr>
        <w:pStyle w:val="ConsPlusNormal"/>
        <w:widowControl/>
        <w:ind w:firstLine="0"/>
        <w:jc w:val="center"/>
        <w:rPr>
          <w:rFonts w:cs="Arial"/>
          <w:b/>
          <w:bCs/>
          <w:sz w:val="32"/>
          <w:szCs w:val="32"/>
        </w:rPr>
      </w:pPr>
      <w:r w:rsidRPr="006C31FC">
        <w:rPr>
          <w:rFonts w:cs="Arial"/>
          <w:b/>
          <w:bCs/>
          <w:sz w:val="32"/>
          <w:szCs w:val="32"/>
        </w:rPr>
        <w:t>СТАРОРОГОВСКОГО СЕЛЬСОВЕТА</w:t>
      </w:r>
    </w:p>
    <w:p w:rsidR="00A321C6" w:rsidRPr="006C31FC" w:rsidRDefault="00843B80" w:rsidP="006C31FC">
      <w:pPr>
        <w:pStyle w:val="ConsPlusNormal"/>
        <w:widowControl/>
        <w:ind w:firstLine="0"/>
        <w:jc w:val="center"/>
        <w:rPr>
          <w:rFonts w:cs="Arial"/>
          <w:b/>
          <w:bCs/>
          <w:sz w:val="32"/>
          <w:szCs w:val="32"/>
        </w:rPr>
      </w:pPr>
      <w:r w:rsidRPr="006C31FC">
        <w:rPr>
          <w:rFonts w:cs="Arial"/>
          <w:b/>
          <w:bCs/>
          <w:sz w:val="32"/>
          <w:szCs w:val="32"/>
        </w:rPr>
        <w:t>ГОРШЕЧЕНСКОГО РАЙОНА</w:t>
      </w:r>
      <w:r w:rsidR="006C31FC" w:rsidRPr="006C31FC">
        <w:rPr>
          <w:rFonts w:cs="Arial"/>
          <w:b/>
          <w:bCs/>
          <w:sz w:val="32"/>
          <w:szCs w:val="32"/>
        </w:rPr>
        <w:t xml:space="preserve"> </w:t>
      </w:r>
      <w:r w:rsidRPr="006C31FC">
        <w:rPr>
          <w:rFonts w:cs="Arial"/>
          <w:b/>
          <w:bCs/>
          <w:sz w:val="32"/>
          <w:szCs w:val="32"/>
        </w:rPr>
        <w:t>КУРСКОЙ ОБЛАСТИ</w:t>
      </w:r>
    </w:p>
    <w:p w:rsidR="00A321C6" w:rsidRPr="006C31FC" w:rsidRDefault="00A321C6" w:rsidP="006C31FC">
      <w:pPr>
        <w:pStyle w:val="ConsTitle"/>
        <w:widowControl/>
        <w:ind w:right="0"/>
        <w:jc w:val="center"/>
        <w:rPr>
          <w:rFonts w:cs="Arial"/>
          <w:sz w:val="32"/>
          <w:szCs w:val="32"/>
        </w:rPr>
      </w:pPr>
    </w:p>
    <w:p w:rsidR="00A321C6" w:rsidRPr="006C31FC" w:rsidRDefault="00A321C6" w:rsidP="006C31FC">
      <w:pPr>
        <w:pStyle w:val="ConsTitle"/>
        <w:widowControl/>
        <w:ind w:right="0"/>
        <w:jc w:val="center"/>
        <w:rPr>
          <w:rFonts w:cs="Arial"/>
          <w:sz w:val="32"/>
          <w:szCs w:val="32"/>
        </w:rPr>
      </w:pPr>
    </w:p>
    <w:p w:rsidR="00A321C6" w:rsidRPr="006C31FC" w:rsidRDefault="00843B80" w:rsidP="006C31FC">
      <w:pPr>
        <w:pStyle w:val="ConsTitle"/>
        <w:widowControl/>
        <w:ind w:right="0"/>
        <w:jc w:val="center"/>
        <w:rPr>
          <w:rFonts w:cs="Arial"/>
          <w:sz w:val="32"/>
          <w:szCs w:val="32"/>
        </w:rPr>
      </w:pPr>
      <w:r w:rsidRPr="006C31FC">
        <w:rPr>
          <w:rFonts w:cs="Arial"/>
          <w:sz w:val="32"/>
          <w:szCs w:val="32"/>
        </w:rPr>
        <w:t>ПОСТАНОВЛЕНИЕ</w:t>
      </w:r>
    </w:p>
    <w:p w:rsidR="00A321C6" w:rsidRPr="006C31FC" w:rsidRDefault="00A321C6" w:rsidP="006C31FC">
      <w:pPr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A321C6" w:rsidRPr="006C31FC" w:rsidRDefault="00A321C6" w:rsidP="006C31FC">
      <w:pPr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A321C6" w:rsidRPr="006C31FC" w:rsidRDefault="00936CF7" w:rsidP="006C31FC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>От 14.11.2023 года  №74</w:t>
      </w:r>
    </w:p>
    <w:p w:rsidR="00A321C6" w:rsidRPr="006C31FC" w:rsidRDefault="00A321C6" w:rsidP="006C31FC">
      <w:pPr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A321C6" w:rsidRPr="006C31FC" w:rsidRDefault="00A321C6" w:rsidP="006C31FC">
      <w:pPr>
        <w:pStyle w:val="ConsTitle"/>
        <w:widowControl/>
        <w:ind w:right="0"/>
        <w:jc w:val="center"/>
        <w:rPr>
          <w:rFonts w:cs="Arial"/>
          <w:sz w:val="32"/>
          <w:szCs w:val="32"/>
        </w:rPr>
      </w:pPr>
    </w:p>
    <w:p w:rsidR="00A321C6" w:rsidRPr="006C31FC" w:rsidRDefault="00843B80" w:rsidP="006C31FC">
      <w:pPr>
        <w:pStyle w:val="ConsTitle"/>
        <w:widowControl/>
        <w:ind w:right="0"/>
        <w:jc w:val="center"/>
        <w:rPr>
          <w:rFonts w:cs="Arial"/>
          <w:sz w:val="32"/>
          <w:szCs w:val="32"/>
        </w:rPr>
      </w:pPr>
      <w:r w:rsidRPr="006C31FC">
        <w:rPr>
          <w:rFonts w:cs="Arial"/>
          <w:sz w:val="32"/>
          <w:szCs w:val="32"/>
        </w:rPr>
        <w:t>«Об утверждении методики</w:t>
      </w:r>
    </w:p>
    <w:p w:rsidR="00A321C6" w:rsidRPr="006C31FC" w:rsidRDefault="00843B80" w:rsidP="006C31FC">
      <w:pPr>
        <w:pStyle w:val="ConsTitle"/>
        <w:widowControl/>
        <w:ind w:right="0"/>
        <w:jc w:val="center"/>
        <w:rPr>
          <w:rFonts w:cs="Arial"/>
          <w:sz w:val="32"/>
          <w:szCs w:val="32"/>
        </w:rPr>
      </w:pPr>
      <w:r w:rsidRPr="006C31FC">
        <w:rPr>
          <w:rFonts w:cs="Arial"/>
          <w:sz w:val="32"/>
          <w:szCs w:val="32"/>
        </w:rPr>
        <w:t>планирования бюджетных ассигнований</w:t>
      </w:r>
    </w:p>
    <w:p w:rsidR="00A321C6" w:rsidRPr="006C31FC" w:rsidRDefault="00843B80" w:rsidP="006C31FC">
      <w:pPr>
        <w:pStyle w:val="ConsTitle"/>
        <w:widowControl/>
        <w:ind w:right="0"/>
        <w:jc w:val="center"/>
        <w:rPr>
          <w:rFonts w:cs="Arial"/>
          <w:sz w:val="32"/>
          <w:szCs w:val="32"/>
        </w:rPr>
      </w:pPr>
      <w:r w:rsidRPr="006C31FC">
        <w:rPr>
          <w:rFonts w:cs="Arial"/>
          <w:sz w:val="32"/>
          <w:szCs w:val="32"/>
        </w:rPr>
        <w:t>Старороговского сельсовета на 2024 год и</w:t>
      </w:r>
    </w:p>
    <w:p w:rsidR="00A321C6" w:rsidRPr="006C31FC" w:rsidRDefault="00843B80" w:rsidP="006C31FC">
      <w:pPr>
        <w:pStyle w:val="ConsTitle"/>
        <w:widowControl/>
        <w:ind w:right="0"/>
        <w:jc w:val="center"/>
        <w:rPr>
          <w:rFonts w:cs="Arial"/>
          <w:sz w:val="32"/>
          <w:szCs w:val="32"/>
        </w:rPr>
      </w:pPr>
      <w:r w:rsidRPr="006C31FC">
        <w:rPr>
          <w:rFonts w:cs="Arial"/>
          <w:sz w:val="32"/>
          <w:szCs w:val="32"/>
        </w:rPr>
        <w:t>плановый период 2025 и 2026 годов»</w:t>
      </w:r>
    </w:p>
    <w:p w:rsidR="00A321C6" w:rsidRPr="006C31FC" w:rsidRDefault="00A321C6" w:rsidP="006C31FC">
      <w:pPr>
        <w:pStyle w:val="ConsTitle"/>
        <w:widowControl/>
        <w:ind w:right="0"/>
        <w:jc w:val="center"/>
        <w:rPr>
          <w:rFonts w:cs="Arial"/>
          <w:b w:val="0"/>
          <w:bCs w:val="0"/>
          <w:sz w:val="32"/>
          <w:szCs w:val="32"/>
        </w:rPr>
      </w:pPr>
    </w:p>
    <w:p w:rsidR="00A321C6" w:rsidRDefault="00A321C6">
      <w:pPr>
        <w:pStyle w:val="ConsTitle"/>
        <w:widowControl/>
        <w:ind w:right="0"/>
        <w:rPr>
          <w:rFonts w:ascii="Times New Roman" w:hAnsi="Times New Roman"/>
          <w:b w:val="0"/>
          <w:bCs w:val="0"/>
          <w:sz w:val="28"/>
          <w:szCs w:val="28"/>
        </w:rPr>
      </w:pPr>
    </w:p>
    <w:p w:rsidR="00A321C6" w:rsidRDefault="00A321C6">
      <w:pPr>
        <w:pStyle w:val="ConsTitle"/>
        <w:widowControl/>
        <w:ind w:right="0"/>
        <w:rPr>
          <w:rFonts w:ascii="Times New Roman" w:hAnsi="Times New Roman"/>
          <w:b w:val="0"/>
          <w:bCs w:val="0"/>
          <w:sz w:val="28"/>
          <w:szCs w:val="28"/>
        </w:rPr>
      </w:pPr>
    </w:p>
    <w:p w:rsidR="00A321C6" w:rsidRDefault="00A321C6">
      <w:pPr>
        <w:pStyle w:val="ConsTitle"/>
        <w:widowControl/>
        <w:ind w:right="0"/>
        <w:rPr>
          <w:rFonts w:ascii="Times New Roman" w:hAnsi="Times New Roman"/>
          <w:b w:val="0"/>
          <w:bCs w:val="0"/>
          <w:sz w:val="28"/>
          <w:szCs w:val="28"/>
        </w:rPr>
      </w:pPr>
    </w:p>
    <w:p w:rsidR="00A321C6" w:rsidRDefault="00843B80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1. Утвердить методику планирования бюджетных ассигнований Старороговского сельсовета Горшеченского района Курской области на 202</w:t>
      </w:r>
      <w:r w:rsidRPr="006C31F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Pr="006C31F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и 202</w:t>
      </w:r>
      <w:r w:rsidRPr="006C31F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годов.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A321C6" w:rsidRDefault="00A321C6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4"/>
        </w:rPr>
      </w:pPr>
    </w:p>
    <w:p w:rsidR="00A321C6" w:rsidRDefault="00843B80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 Контроль за исполнением настоящего постановления оставляю за собой.</w:t>
      </w:r>
    </w:p>
    <w:p w:rsidR="00A321C6" w:rsidRDefault="00A321C6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4"/>
        </w:rPr>
      </w:pPr>
    </w:p>
    <w:p w:rsidR="00A321C6" w:rsidRDefault="00843B80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 </w:t>
      </w:r>
      <w:r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A321C6" w:rsidRDefault="00A321C6">
      <w:pPr>
        <w:pStyle w:val="ConsTitle"/>
        <w:widowControl/>
        <w:ind w:right="0"/>
        <w:rPr>
          <w:rFonts w:ascii="Times New Roman" w:hAnsi="Times New Roman"/>
          <w:b w:val="0"/>
          <w:bCs w:val="0"/>
          <w:sz w:val="28"/>
          <w:szCs w:val="28"/>
        </w:rPr>
      </w:pPr>
    </w:p>
    <w:p w:rsidR="00A321C6" w:rsidRDefault="00A321C6">
      <w:pPr>
        <w:pStyle w:val="ConsTitle"/>
        <w:widowControl/>
        <w:ind w:right="0"/>
        <w:rPr>
          <w:rFonts w:ascii="Times New Roman" w:hAnsi="Times New Roman"/>
          <w:b w:val="0"/>
          <w:bCs w:val="0"/>
          <w:sz w:val="28"/>
          <w:szCs w:val="28"/>
        </w:rPr>
      </w:pPr>
    </w:p>
    <w:p w:rsidR="00A321C6" w:rsidRDefault="00A321C6">
      <w:pPr>
        <w:pStyle w:val="ConsTitle"/>
        <w:widowControl/>
        <w:ind w:right="0"/>
        <w:rPr>
          <w:rFonts w:ascii="Times New Roman" w:hAnsi="Times New Roman"/>
          <w:b w:val="0"/>
          <w:bCs w:val="0"/>
          <w:sz w:val="28"/>
          <w:szCs w:val="28"/>
        </w:rPr>
      </w:pPr>
    </w:p>
    <w:p w:rsidR="00A321C6" w:rsidRDefault="00A321C6">
      <w:pPr>
        <w:pStyle w:val="ConsTitle"/>
        <w:widowControl/>
        <w:ind w:right="0"/>
        <w:rPr>
          <w:rFonts w:ascii="Times New Roman" w:hAnsi="Times New Roman"/>
          <w:b w:val="0"/>
          <w:bCs w:val="0"/>
          <w:caps/>
          <w:sz w:val="28"/>
          <w:szCs w:val="28"/>
        </w:rPr>
      </w:pPr>
    </w:p>
    <w:p w:rsidR="00A321C6" w:rsidRDefault="00A321C6">
      <w:pPr>
        <w:pStyle w:val="ConsNonformat"/>
        <w:widowControl/>
        <w:ind w:right="0"/>
        <w:rPr>
          <w:rFonts w:ascii="Times New Roman" w:hAnsi="Times New Roman"/>
          <w:sz w:val="28"/>
          <w:szCs w:val="28"/>
        </w:rPr>
      </w:pPr>
    </w:p>
    <w:p w:rsidR="00A321C6" w:rsidRDefault="00A321C6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:rsidR="00A321C6" w:rsidRDefault="00A321C6">
      <w:pPr>
        <w:pStyle w:val="ConsNonformat"/>
        <w:widowControl/>
        <w:ind w:right="0"/>
        <w:rPr>
          <w:rFonts w:ascii="Times New Roman" w:hAnsi="Times New Roman"/>
          <w:sz w:val="28"/>
          <w:szCs w:val="28"/>
        </w:rPr>
      </w:pPr>
    </w:p>
    <w:p w:rsidR="006C31FC" w:rsidRDefault="00843B8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Старороговского сельсовета      </w:t>
      </w:r>
    </w:p>
    <w:p w:rsidR="00A321C6" w:rsidRDefault="006C31FC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Горшеченского района        </w:t>
      </w:r>
      <w:r w:rsidR="00843B80">
        <w:rPr>
          <w:sz w:val="28"/>
          <w:szCs w:val="28"/>
          <w:lang w:val="ru-RU"/>
        </w:rPr>
        <w:t xml:space="preserve">                                     А.А.</w:t>
      </w:r>
      <w:r>
        <w:rPr>
          <w:sz w:val="28"/>
          <w:szCs w:val="28"/>
          <w:lang w:val="ru-RU"/>
        </w:rPr>
        <w:t xml:space="preserve"> </w:t>
      </w:r>
      <w:r w:rsidR="00843B80">
        <w:rPr>
          <w:sz w:val="28"/>
          <w:szCs w:val="28"/>
          <w:lang w:val="ru-RU"/>
        </w:rPr>
        <w:t>Зиновьев</w:t>
      </w:r>
    </w:p>
    <w:p w:rsidR="00A321C6" w:rsidRDefault="00A321C6">
      <w:pPr>
        <w:pStyle w:val="ConsNormal"/>
        <w:widowControl/>
        <w:ind w:right="0" w:firstLine="0"/>
        <w:jc w:val="right"/>
      </w:pPr>
    </w:p>
    <w:p w:rsidR="00A321C6" w:rsidRDefault="00A321C6">
      <w:pPr>
        <w:pStyle w:val="ConsNormal"/>
        <w:widowControl/>
        <w:ind w:right="0" w:firstLine="0"/>
        <w:jc w:val="right"/>
      </w:pPr>
    </w:p>
    <w:p w:rsidR="00A321C6" w:rsidRDefault="00A321C6">
      <w:pPr>
        <w:pStyle w:val="ConsNormal"/>
        <w:widowControl/>
        <w:ind w:right="0" w:firstLine="0"/>
        <w:jc w:val="right"/>
      </w:pPr>
    </w:p>
    <w:p w:rsidR="00A321C6" w:rsidRDefault="00A321C6">
      <w:pPr>
        <w:pStyle w:val="ConsNormal"/>
        <w:widowControl/>
        <w:ind w:right="0" w:firstLine="0"/>
        <w:jc w:val="right"/>
      </w:pPr>
    </w:p>
    <w:p w:rsidR="00A321C6" w:rsidRDefault="00A321C6">
      <w:pPr>
        <w:pStyle w:val="ConsNormal"/>
        <w:widowControl/>
        <w:ind w:right="0" w:firstLine="0"/>
        <w:jc w:val="right"/>
      </w:pPr>
    </w:p>
    <w:p w:rsidR="00A321C6" w:rsidRDefault="00A321C6">
      <w:pPr>
        <w:pStyle w:val="ConsNormal"/>
        <w:widowControl/>
        <w:ind w:right="0" w:firstLine="0"/>
        <w:jc w:val="right"/>
      </w:pPr>
    </w:p>
    <w:p w:rsidR="00A321C6" w:rsidRDefault="00A321C6">
      <w:pPr>
        <w:pStyle w:val="ConsNormal"/>
        <w:widowControl/>
        <w:ind w:right="0" w:firstLine="0"/>
        <w:jc w:val="right"/>
      </w:pPr>
    </w:p>
    <w:p w:rsidR="00A321C6" w:rsidRDefault="00A321C6" w:rsidP="006C31FC">
      <w:pPr>
        <w:pStyle w:val="ConsNormal"/>
        <w:widowControl/>
        <w:ind w:right="0" w:firstLine="0"/>
      </w:pPr>
    </w:p>
    <w:p w:rsidR="00A321C6" w:rsidRDefault="00A321C6">
      <w:pPr>
        <w:pStyle w:val="ConsNormal"/>
        <w:widowControl/>
        <w:ind w:right="0" w:firstLine="0"/>
        <w:jc w:val="right"/>
      </w:pPr>
    </w:p>
    <w:p w:rsidR="00A321C6" w:rsidRDefault="00843B80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Приложение</w:t>
      </w:r>
    </w:p>
    <w:p w:rsidR="00A321C6" w:rsidRDefault="00843B80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к постановлению </w:t>
      </w:r>
    </w:p>
    <w:p w:rsidR="00A321C6" w:rsidRDefault="00843B80">
      <w:pPr>
        <w:rPr>
          <w:lang w:val="ru-RU"/>
        </w:rPr>
      </w:pPr>
      <w:r>
        <w:rPr>
          <w:lang w:val="ru-RU"/>
        </w:rPr>
        <w:t xml:space="preserve">                                           </w:t>
      </w:r>
      <w:r w:rsidR="006C31FC">
        <w:rPr>
          <w:lang w:val="ru-RU"/>
        </w:rPr>
        <w:t xml:space="preserve">                               </w:t>
      </w:r>
      <w:r>
        <w:rPr>
          <w:lang w:val="ru-RU"/>
        </w:rPr>
        <w:t xml:space="preserve">  администрации Старороговского сельсовета</w:t>
      </w:r>
    </w:p>
    <w:p w:rsidR="00A321C6" w:rsidRDefault="00843B80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Горшеченского района Курской области</w:t>
      </w:r>
    </w:p>
    <w:p w:rsidR="00A321C6" w:rsidRDefault="00843B80">
      <w:pPr>
        <w:rPr>
          <w:lang w:val="ru-RU"/>
        </w:rPr>
      </w:pPr>
      <w:r>
        <w:rPr>
          <w:lang w:val="ru-RU"/>
        </w:rPr>
        <w:t xml:space="preserve">                                                        </w:t>
      </w:r>
      <w:r w:rsidR="00936CF7">
        <w:rPr>
          <w:lang w:val="ru-RU"/>
        </w:rPr>
        <w:t xml:space="preserve">      </w:t>
      </w:r>
      <w:r w:rsidR="00936CF7">
        <w:rPr>
          <w:lang w:val="ru-RU"/>
        </w:rPr>
        <w:tab/>
      </w:r>
      <w:r w:rsidR="00936CF7">
        <w:rPr>
          <w:lang w:val="ru-RU"/>
        </w:rPr>
        <w:tab/>
        <w:t xml:space="preserve">                   №74</w:t>
      </w:r>
      <w:bookmarkStart w:id="0" w:name="_GoBack"/>
      <w:bookmarkEnd w:id="0"/>
      <w:r w:rsidR="006C31FC">
        <w:rPr>
          <w:lang w:val="ru-RU"/>
        </w:rPr>
        <w:t xml:space="preserve"> от  14.11.</w:t>
      </w:r>
      <w:r>
        <w:rPr>
          <w:lang w:val="ru-RU"/>
        </w:rPr>
        <w:t xml:space="preserve"> 202</w:t>
      </w:r>
      <w:r w:rsidRPr="006C31FC">
        <w:rPr>
          <w:lang w:val="ru-RU"/>
        </w:rPr>
        <w:t>3</w:t>
      </w:r>
      <w:r>
        <w:rPr>
          <w:lang w:val="ru-RU"/>
        </w:rPr>
        <w:t xml:space="preserve"> г. </w:t>
      </w:r>
    </w:p>
    <w:p w:rsidR="00A321C6" w:rsidRDefault="00A321C6">
      <w:pPr>
        <w:rPr>
          <w:lang w:val="ru-RU"/>
        </w:rPr>
      </w:pPr>
    </w:p>
    <w:p w:rsidR="00A321C6" w:rsidRDefault="00A321C6">
      <w:pPr>
        <w:rPr>
          <w:lang w:val="ru-RU"/>
        </w:rPr>
      </w:pPr>
    </w:p>
    <w:p w:rsidR="00A321C6" w:rsidRDefault="00843B80">
      <w:pPr>
        <w:shd w:val="clear" w:color="auto" w:fill="FFFFFF"/>
        <w:ind w:right="-1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МЕТОДИКА</w:t>
      </w:r>
    </w:p>
    <w:p w:rsidR="00A321C6" w:rsidRDefault="00843B80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ПРОГНОЗИРОВАНИЯ НАЛОГОВЫХ И НЕНАЛОГОВЫХ ДОХОДОВ ОБЛАСТНОГО</w:t>
      </w:r>
    </w:p>
    <w:p w:rsidR="00A321C6" w:rsidRDefault="00843B80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БЮДЖЕТА И МЕСТНЫХ БЮДЖЕТОВ ДЛЯ ПОСТРОЕНИЯ МЕЖБЮДЖЕТНЫХ</w:t>
      </w:r>
    </w:p>
    <w:p w:rsidR="00A321C6" w:rsidRDefault="00843B80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ОТНОШЕНИЙ МЕЖДУ ОБЛАСТНЫМ БЮДЖЕТОМ И БЮДЖЕТАМИ</w:t>
      </w:r>
    </w:p>
    <w:p w:rsidR="00A321C6" w:rsidRDefault="00843B80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МУНИЦИПАЛЬНЫХ ОБРАЗОВАНИЙ</w:t>
      </w:r>
    </w:p>
    <w:p w:rsidR="00A321C6" w:rsidRDefault="00843B80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2023 ГОД И НА ПЛАНОВЫЙ ПЕРИОД</w:t>
      </w:r>
    </w:p>
    <w:p w:rsidR="00A321C6" w:rsidRDefault="00843B80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2024 И 2025 ГОДОВ</w:t>
      </w:r>
    </w:p>
    <w:p w:rsidR="00A321C6" w:rsidRDefault="00A321C6">
      <w:pPr>
        <w:shd w:val="clear" w:color="auto" w:fill="FFFFFF"/>
        <w:ind w:right="-1" w:firstLine="709"/>
        <w:rPr>
          <w:b/>
          <w:bCs/>
          <w:color w:val="000000"/>
          <w:spacing w:val="-10"/>
          <w:sz w:val="28"/>
          <w:szCs w:val="28"/>
          <w:lang w:val="ru-RU"/>
        </w:rPr>
      </w:pPr>
    </w:p>
    <w:p w:rsidR="00A321C6" w:rsidRDefault="00843B80">
      <w:pPr>
        <w:shd w:val="clear" w:color="auto" w:fill="FFFFFF"/>
        <w:ind w:right="-1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Доходная база консолидированного бюджета области на 2024-2026 годы формируется исходя из действующего на момент составления бюджета налогового и бюджетного законодательства и макроэкономических параметров функционирования реального сектора экономики области.</w:t>
      </w:r>
    </w:p>
    <w:p w:rsidR="00A321C6" w:rsidRDefault="00843B80">
      <w:pPr>
        <w:shd w:val="clear" w:color="auto" w:fill="FFFFFF"/>
        <w:ind w:right="-1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Прогнозирование осуществляется отдельно по каждому виду налога или сбора в условиях хозяйствования области (налогооблагаемая база, индексы промышленного и сельскохозяйственного производства, индексы-дефляторы оптовых цен промышленной продукции, индекс потребительских цен, объёмы реализации подакцизных товаров, объёмы добычи полезных ископаемых, прибыль, фонд заработной платы) по муниципальным образованиям области. </w:t>
      </w:r>
    </w:p>
    <w:p w:rsidR="00A321C6" w:rsidRDefault="00843B80">
      <w:pPr>
        <w:shd w:val="clear" w:color="auto" w:fill="FFFFFF"/>
        <w:ind w:right="-1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 внесении в действующее налоговое законодательство изменений и дополнений методика прогнозирования отдельных налогов может быть уточнена.</w:t>
      </w:r>
    </w:p>
    <w:p w:rsidR="00A321C6" w:rsidRDefault="00A321C6">
      <w:pPr>
        <w:shd w:val="clear" w:color="auto" w:fill="FFFFFF"/>
        <w:ind w:right="-1" w:firstLine="709"/>
        <w:jc w:val="both"/>
        <w:rPr>
          <w:bCs/>
          <w:color w:val="000000"/>
          <w:sz w:val="28"/>
          <w:szCs w:val="28"/>
          <w:u w:val="single"/>
          <w:lang w:val="ru-RU"/>
        </w:rPr>
      </w:pPr>
    </w:p>
    <w:p w:rsidR="00A321C6" w:rsidRDefault="00A321C6">
      <w:pPr>
        <w:ind w:right="-1" w:firstLine="709"/>
        <w:jc w:val="both"/>
        <w:rPr>
          <w:color w:val="000000"/>
          <w:sz w:val="28"/>
          <w:szCs w:val="28"/>
          <w:lang w:val="ru-RU"/>
        </w:rPr>
      </w:pPr>
    </w:p>
    <w:p w:rsidR="00A321C6" w:rsidRDefault="00843B80">
      <w:pPr>
        <w:ind w:right="-1" w:firstLine="709"/>
        <w:jc w:val="both"/>
        <w:rPr>
          <w:b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Налог на доходы физических лиц </w:t>
      </w:r>
      <w:r>
        <w:rPr>
          <w:b/>
          <w:color w:val="000000"/>
          <w:sz w:val="28"/>
          <w:szCs w:val="28"/>
          <w:lang w:val="ru-RU"/>
        </w:rPr>
        <w:t>(код 1 01 02000 01 0000 110)</w:t>
      </w:r>
    </w:p>
    <w:p w:rsidR="00A321C6" w:rsidRDefault="00A321C6">
      <w:pPr>
        <w:ind w:right="-1" w:firstLine="709"/>
        <w:rPr>
          <w:color w:val="000000"/>
          <w:sz w:val="28"/>
          <w:szCs w:val="28"/>
          <w:lang w:val="ru-RU"/>
        </w:rPr>
      </w:pPr>
    </w:p>
    <w:p w:rsidR="00A321C6" w:rsidRDefault="00843B80">
      <w:pPr>
        <w:widowControl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</w:r>
      <w:hyperlink r:id="rId7" w:history="1">
        <w:r>
          <w:rPr>
            <w:color w:val="0000FF"/>
            <w:sz w:val="28"/>
            <w:szCs w:val="28"/>
            <w:lang w:val="ru-RU" w:eastAsia="ru-RU"/>
          </w:rPr>
          <w:t>статьями 227</w:t>
        </w:r>
      </w:hyperlink>
      <w:r>
        <w:rPr>
          <w:sz w:val="28"/>
          <w:szCs w:val="28"/>
          <w:lang w:val="ru-RU" w:eastAsia="ru-RU"/>
        </w:rPr>
        <w:t xml:space="preserve">, </w:t>
      </w:r>
      <w:hyperlink r:id="rId8" w:history="1">
        <w:r>
          <w:rPr>
            <w:color w:val="0000FF"/>
            <w:sz w:val="28"/>
            <w:szCs w:val="28"/>
            <w:lang w:val="ru-RU" w:eastAsia="ru-RU"/>
          </w:rPr>
          <w:t>227.1</w:t>
        </w:r>
      </w:hyperlink>
      <w:r>
        <w:rPr>
          <w:sz w:val="28"/>
          <w:szCs w:val="28"/>
          <w:lang w:val="ru-RU" w:eastAsia="ru-RU"/>
        </w:rPr>
        <w:t xml:space="preserve"> и </w:t>
      </w:r>
      <w:hyperlink r:id="rId9" w:history="1">
        <w:r>
          <w:rPr>
            <w:color w:val="0000FF"/>
            <w:sz w:val="28"/>
            <w:szCs w:val="28"/>
            <w:lang w:val="ru-RU" w:eastAsia="ru-RU"/>
          </w:rPr>
          <w:t>228</w:t>
        </w:r>
      </w:hyperlink>
      <w:r>
        <w:rPr>
          <w:sz w:val="28"/>
          <w:szCs w:val="28"/>
          <w:lang w:val="ru-RU" w:eastAsia="ru-RU"/>
        </w:rPr>
        <w:t xml:space="preserve"> Налогового кодекса Российской Федерации (код 1 01 02010 01 0000 110), рассчитывается по двум вариантам и принимается средний из них.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Первый вариант - сумма налога определяется исходя из ожидаемого поступления налога в 2023 году, скорректированного на темпы роста (снижения) фонда заработной платы на 2024 год.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Ожидаемое поступление налога в 2023 году рассчитывается исходя из фактических поступлений сумм налога за 6 месяцев 2023 года и среднего удельного веса поступлений за соответствующие периоды 2020, 2021 и 2022 годов в фактических годовых поступлениях.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Второй вариант - сумма налога определяется исходя из фонда заработной платы, планируемого комитетом по экономике и развитию Курской области на 2024 год, и ставки налога в размере 13%.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Прогнозируемая сумма поступления налога на 2025 - 2026 годы также рассчитывается по двум вариантам и принимается средний из них.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Первый вариант - сумма налога на 2025 - 2026 годы определяется исходя из прогнозируемого поступления налога в 2024 году по первому варианту, скорректированного на ежегодные темпы роста (снижения) фонда заработной платы на 2025 - 2026 годы.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Второй вариант - сумма налога на 2025 - 2026 годы определяется исходя из фонда заработной платы, планируемого комитетом по экономике и развитию Курской области на 2025 - 2026 годы, и ставки налога в размере 13%.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</w:r>
      <w:hyperlink r:id="rId10" w:history="1">
        <w:r>
          <w:rPr>
            <w:color w:val="0000FF"/>
            <w:sz w:val="28"/>
            <w:szCs w:val="28"/>
            <w:lang w:val="ru-RU" w:eastAsia="ru-RU"/>
          </w:rPr>
          <w:t>статьей 227</w:t>
        </w:r>
      </w:hyperlink>
      <w:r>
        <w:rPr>
          <w:sz w:val="28"/>
          <w:szCs w:val="28"/>
          <w:lang w:val="ru-RU" w:eastAsia="ru-RU"/>
        </w:rPr>
        <w:t xml:space="preserve"> Налогового кодекса Российской Федерации (код 1 01 02020 01 0000 110), рассчитывается исходя из ожидаемого поступления налога в 2023 году, скорректированного на ежегодные темпы роста (снижения) фонда заработной платы в 2024 - 2026 годах.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Ожидаемое поступление налога в 2023 году рассчитывается исходя из среднего фактического поступления сумм налога в 2021 и 2022 годах.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Прогноз поступлений налога на доходы физических лиц с доходов, полученных физическими лицами в соответствии со </w:t>
      </w:r>
      <w:hyperlink r:id="rId11" w:history="1">
        <w:r>
          <w:rPr>
            <w:color w:val="0000FF"/>
            <w:sz w:val="28"/>
            <w:szCs w:val="28"/>
            <w:lang w:val="ru-RU" w:eastAsia="ru-RU"/>
          </w:rPr>
          <w:t>статьей 228</w:t>
        </w:r>
      </w:hyperlink>
      <w:r>
        <w:rPr>
          <w:sz w:val="28"/>
          <w:szCs w:val="28"/>
          <w:lang w:val="ru-RU" w:eastAsia="ru-RU"/>
        </w:rPr>
        <w:t xml:space="preserve"> Налогового кодекса Российской Федерации (код 1 01 02030 01 0000 110), в 2024 - 2026 годах определяется на уровне ожидаемого поступления налога в 2023 году.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Ожидаемое поступление налога в 2023 году определяется на уровне фактического поступления налога в 2022 году.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</w:r>
      <w:hyperlink r:id="rId12" w:history="1">
        <w:r>
          <w:rPr>
            <w:color w:val="0000FF"/>
            <w:sz w:val="28"/>
            <w:szCs w:val="28"/>
            <w:lang w:val="ru-RU" w:eastAsia="ru-RU"/>
          </w:rPr>
          <w:t>статьей 227.1</w:t>
        </w:r>
      </w:hyperlink>
      <w:r>
        <w:rPr>
          <w:sz w:val="28"/>
          <w:szCs w:val="28"/>
          <w:lang w:val="ru-RU" w:eastAsia="ru-RU"/>
        </w:rPr>
        <w:t xml:space="preserve"> Налогового </w:t>
      </w:r>
      <w:r>
        <w:rPr>
          <w:sz w:val="28"/>
          <w:szCs w:val="28"/>
          <w:lang w:val="ru-RU" w:eastAsia="ru-RU"/>
        </w:rPr>
        <w:lastRenderedPageBreak/>
        <w:t xml:space="preserve">кодекса Российской Федерации (код 1 01 02040 01 0000 110), 2024 – 2026 годах прогнозируется на основании сведений главного администратора доходов областного бюджета – Управление Федеральной налоговой службы по Курской области. 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Налог на доходы физических лиц в части суммы налога, превышающей 650000 рублей, относящейся к части налоговой базы, превышающей 5000000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(код 1 01 02080 01 0000 110), рассчитывается исходя из ожидаемого поступления налога в 2023 году, скорректированного на темпы роста (снижения) фонда заработной платы на 2024 - 2026 годы.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Ожидаемое поступление налога в 2023 году рассчитывается исходя из суммы фактического поступления налога за I полугодие 2023 года и фактического поступления налога за июнь 2023 года, умноженного на количество месяцев II полугодия 2023 года. При отрицательном фактическом поступлении в июне 2023 года, ожидаемое поступление налога в 2023 году рассчитывается на уровне</w:t>
      </w:r>
      <w:r>
        <w:rPr>
          <w:lang w:val="ru-RU"/>
        </w:rPr>
        <w:t xml:space="preserve">  </w:t>
      </w:r>
      <w:r>
        <w:rPr>
          <w:sz w:val="28"/>
          <w:lang w:val="ru-RU"/>
        </w:rPr>
        <w:t xml:space="preserve">фактического поступления налога </w:t>
      </w:r>
      <w:r>
        <w:rPr>
          <w:sz w:val="28"/>
        </w:rPr>
        <w:t>I</w:t>
      </w:r>
      <w:r>
        <w:rPr>
          <w:sz w:val="28"/>
          <w:lang w:val="ru-RU"/>
        </w:rPr>
        <w:t xml:space="preserve"> полугодия 2023 года.</w:t>
      </w:r>
    </w:p>
    <w:p w:rsidR="00A321C6" w:rsidRDefault="00A321C6">
      <w:pPr>
        <w:pStyle w:val="a5"/>
        <w:ind w:right="-1" w:firstLine="0"/>
        <w:jc w:val="both"/>
        <w:rPr>
          <w:b w:val="0"/>
          <w:bCs w:val="0"/>
          <w:color w:val="000000"/>
        </w:rPr>
      </w:pPr>
    </w:p>
    <w:p w:rsidR="00A321C6" w:rsidRDefault="00843B80">
      <w:pPr>
        <w:pStyle w:val="a5"/>
        <w:ind w:right="-1" w:firstLine="709"/>
        <w:rPr>
          <w:b w:val="0"/>
          <w:bCs w:val="0"/>
          <w:color w:val="000000"/>
        </w:rPr>
      </w:pPr>
      <w:r>
        <w:rPr>
          <w:bCs w:val="0"/>
          <w:color w:val="000000"/>
        </w:rPr>
        <w:t>Единый сельскохозяйственный налог</w:t>
      </w:r>
      <w:r>
        <w:rPr>
          <w:b w:val="0"/>
          <w:bCs w:val="0"/>
          <w:color w:val="000000"/>
        </w:rPr>
        <w:t xml:space="preserve"> (код 1 05 03010 01 0000 110)</w:t>
      </w:r>
    </w:p>
    <w:p w:rsidR="00A321C6" w:rsidRDefault="00A321C6">
      <w:pPr>
        <w:pStyle w:val="a5"/>
        <w:ind w:right="-1" w:firstLine="709"/>
        <w:jc w:val="both"/>
        <w:rPr>
          <w:b w:val="0"/>
          <w:bCs w:val="0"/>
          <w:color w:val="000000"/>
        </w:rPr>
      </w:pPr>
    </w:p>
    <w:p w:rsidR="00A321C6" w:rsidRDefault="00843B80">
      <w:pPr>
        <w:widowControl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Прогноз поступлений налога в 2024 - 2026 годах рассчитывается исходя из ожидаемого поступления налога в 2023 году, скорректированного на ежегодные индексы-дефляторы цен сельскохозяйственной продукции, прогнозируемые на 2024 - 2025 годы.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Ожидаемое поступление налога в 2023 году рассчитывается исходя из фактических поступлений сумм налога за 6 месяцев 2023 года и удельного веса поступлений за соответствующий период 2022 года в фактических годовых поступлениях. При расчете ожидаемого поступления по муниципальным образованиям, у которых удельный вес 1-го полугодия отчетного года составляет более 100 процентов или не превышает средний по области, в расчет принимается удельный вес, равный 100 процентам, и средний по области соответственно.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При расчете на очередной финансовый год и на плановый период прогноза поступления налога учитываются особенности по поселениям: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при отсутствии у поселения индексов цен сельскохозяйственной продукции в расчетах применяются сводные индексы по соответствующему району, в состав которого входят данные поселения;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при получении в расчетах отрицательного значения прогноз </w:t>
      </w:r>
      <w:r>
        <w:rPr>
          <w:sz w:val="28"/>
          <w:szCs w:val="28"/>
          <w:lang w:val="ru-RU" w:eastAsia="ru-RU"/>
        </w:rPr>
        <w:lastRenderedPageBreak/>
        <w:t>поступления налога принимается равным нулю.</w:t>
      </w:r>
    </w:p>
    <w:p w:rsidR="00A321C6" w:rsidRDefault="00A321C6">
      <w:pPr>
        <w:shd w:val="clear" w:color="auto" w:fill="FFFFFF"/>
        <w:tabs>
          <w:tab w:val="left" w:pos="1819"/>
        </w:tabs>
        <w:ind w:right="-1"/>
        <w:jc w:val="both"/>
        <w:rPr>
          <w:color w:val="000000"/>
          <w:sz w:val="28"/>
          <w:szCs w:val="28"/>
          <w:lang w:val="ru-RU"/>
        </w:rPr>
      </w:pPr>
    </w:p>
    <w:p w:rsidR="00A321C6" w:rsidRDefault="00843B80">
      <w:pPr>
        <w:shd w:val="clear" w:color="auto" w:fill="FFFFFF"/>
        <w:tabs>
          <w:tab w:val="left" w:pos="1819"/>
        </w:tabs>
        <w:ind w:right="-1" w:firstLine="709"/>
        <w:jc w:val="center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Налог на имущество физических лиц</w:t>
      </w:r>
      <w:r>
        <w:rPr>
          <w:color w:val="000000"/>
          <w:sz w:val="28"/>
          <w:szCs w:val="28"/>
          <w:lang w:val="ru-RU"/>
        </w:rPr>
        <w:t xml:space="preserve"> (код 1 06 01000 00 0000 110)</w:t>
      </w:r>
    </w:p>
    <w:p w:rsidR="00A321C6" w:rsidRDefault="00A321C6">
      <w:pPr>
        <w:shd w:val="clear" w:color="auto" w:fill="FFFFFF"/>
        <w:ind w:right="-1" w:firstLine="709"/>
        <w:jc w:val="both"/>
        <w:rPr>
          <w:color w:val="000000"/>
          <w:sz w:val="28"/>
          <w:szCs w:val="28"/>
          <w:lang w:val="ru-RU"/>
        </w:rPr>
      </w:pPr>
    </w:p>
    <w:p w:rsidR="00A321C6" w:rsidRDefault="00843B80">
      <w:pPr>
        <w:widowControl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Прогноз поступлений налога на 2024 - 2026 годы рассчитывается исходя из ожидаемого поступления налога в 2023 году.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Ожидаемое поступление в 2023 году рассчитывается исходя из фактических поступлений сумм налога за 2022 год, скорректированного на среднеобластной темп роста налога за 3 года - 117,8 процентов.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При расчете ожидаемого поступления по муниципальным образованиям, у которых отмечается отрицательная динамика роста поступлений по налогу, в расчет принимается темп роста, равный 100 процентам. При получении в расчетах отрицательного значения прогноз поступления налога принимается равным нулю.</w:t>
      </w:r>
    </w:p>
    <w:p w:rsidR="00A321C6" w:rsidRDefault="00A321C6">
      <w:pPr>
        <w:shd w:val="clear" w:color="auto" w:fill="FFFFFF"/>
        <w:ind w:right="-1" w:firstLine="709"/>
        <w:jc w:val="both"/>
        <w:rPr>
          <w:color w:val="000000"/>
          <w:sz w:val="28"/>
          <w:szCs w:val="28"/>
          <w:lang w:val="ru-RU"/>
        </w:rPr>
      </w:pPr>
    </w:p>
    <w:p w:rsidR="00A321C6" w:rsidRDefault="00843B80">
      <w:pPr>
        <w:shd w:val="clear" w:color="auto" w:fill="FFFFFF"/>
        <w:ind w:right="-1" w:firstLine="709"/>
        <w:jc w:val="center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Налог на имущество организаций</w:t>
      </w:r>
      <w:r>
        <w:rPr>
          <w:color w:val="000000"/>
          <w:sz w:val="28"/>
          <w:szCs w:val="28"/>
          <w:lang w:val="ru-RU"/>
        </w:rPr>
        <w:t xml:space="preserve"> (код 1 06 02000 02 0000 110)</w:t>
      </w:r>
    </w:p>
    <w:p w:rsidR="00A321C6" w:rsidRDefault="00A321C6">
      <w:pPr>
        <w:shd w:val="clear" w:color="auto" w:fill="FFFFFF"/>
        <w:ind w:right="-1" w:firstLine="709"/>
        <w:jc w:val="both"/>
        <w:rPr>
          <w:color w:val="000000"/>
          <w:sz w:val="28"/>
          <w:szCs w:val="28"/>
          <w:lang w:val="ru-RU"/>
        </w:rPr>
      </w:pP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Прогноз поступлений налога на имущество организаций в 2024 - 2026 годах учитывается на основании сведений главного администратора доходов областного  – Управления Федеральной налоговой службы по Курской области.</w:t>
      </w:r>
    </w:p>
    <w:p w:rsidR="00A321C6" w:rsidRDefault="00A321C6">
      <w:pPr>
        <w:pStyle w:val="ConsNormal"/>
        <w:widowControl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321C6" w:rsidRDefault="00843B80">
      <w:pPr>
        <w:shd w:val="clear" w:color="auto" w:fill="FFFFFF"/>
        <w:ind w:right="-1" w:firstLine="709"/>
        <w:jc w:val="center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Земельный налог</w:t>
      </w:r>
      <w:r>
        <w:rPr>
          <w:bCs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(код 1 06 06000 00 0000 110)</w:t>
      </w:r>
    </w:p>
    <w:p w:rsidR="00A321C6" w:rsidRDefault="00A321C6">
      <w:pPr>
        <w:shd w:val="clear" w:color="auto" w:fill="FFFFFF"/>
        <w:ind w:right="-1" w:firstLine="709"/>
        <w:jc w:val="center"/>
        <w:rPr>
          <w:color w:val="000000"/>
          <w:sz w:val="28"/>
          <w:szCs w:val="28"/>
          <w:lang w:val="ru-RU"/>
        </w:rPr>
      </w:pPr>
    </w:p>
    <w:p w:rsidR="00A321C6" w:rsidRDefault="00843B80">
      <w:pPr>
        <w:widowControl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Прогноз поступлений земельного налога на 2024 - 2026 годы определяется на уровне ожидаемого поступления налога в 2023 году.</w:t>
      </w:r>
    </w:p>
    <w:p w:rsidR="00A321C6" w:rsidRDefault="00843B80">
      <w:pPr>
        <w:tabs>
          <w:tab w:val="left" w:pos="709"/>
          <w:tab w:val="left" w:pos="851"/>
        </w:tabs>
        <w:ind w:right="-1"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Ожидаемое поступление налога в 2023 году рассчитывается исходя из среднего значения фактических поступлений сумм налога в 2021 и 2022 годах.</w:t>
      </w:r>
    </w:p>
    <w:p w:rsidR="00A321C6" w:rsidRDefault="00A321C6">
      <w:pPr>
        <w:tabs>
          <w:tab w:val="left" w:pos="709"/>
          <w:tab w:val="left" w:pos="851"/>
        </w:tabs>
        <w:ind w:right="-1" w:firstLine="709"/>
        <w:jc w:val="both"/>
        <w:rPr>
          <w:sz w:val="28"/>
          <w:szCs w:val="28"/>
          <w:lang w:val="ru-RU" w:eastAsia="ru-RU"/>
        </w:rPr>
      </w:pPr>
    </w:p>
    <w:p w:rsidR="00A321C6" w:rsidRDefault="00843B80">
      <w:pPr>
        <w:tabs>
          <w:tab w:val="left" w:pos="709"/>
          <w:tab w:val="left" w:pos="851"/>
        </w:tabs>
        <w:ind w:right="-1" w:firstLine="709"/>
        <w:jc w:val="both"/>
        <w:rPr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 </w:t>
      </w:r>
      <w:r>
        <w:rPr>
          <w:sz w:val="28"/>
          <w:szCs w:val="28"/>
          <w:lang w:val="ru-RU" w:eastAsia="ru-RU"/>
        </w:rPr>
        <w:t>(коды 1 11 05024 04 0000 120; 1 11 05025 05 0000 120; 1 11 05025 10 0000 120; 1 11 05025 13 0000 120).</w:t>
      </w:r>
    </w:p>
    <w:p w:rsidR="00A321C6" w:rsidRDefault="00843B80">
      <w:pPr>
        <w:tabs>
          <w:tab w:val="left" w:pos="709"/>
          <w:tab w:val="left" w:pos="851"/>
        </w:tabs>
        <w:ind w:right="-1"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Поступление арендной платы за земли на 2024-2026 годы прогнозируется на уровне ожидаемого поступления доходов в 2023 году.</w:t>
      </w:r>
    </w:p>
    <w:p w:rsidR="00A321C6" w:rsidRDefault="00843B80">
      <w:pPr>
        <w:tabs>
          <w:tab w:val="left" w:pos="709"/>
          <w:tab w:val="left" w:pos="851"/>
        </w:tabs>
        <w:ind w:right="-1"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Ожидаемое поступление в 2023 году рассчитывается исходя из фактического поступления доходов во 2 полугодии 2022 года и в </w:t>
      </w:r>
      <w:r>
        <w:rPr>
          <w:sz w:val="28"/>
          <w:szCs w:val="28"/>
        </w:rPr>
        <w:t>I</w:t>
      </w:r>
      <w:r>
        <w:rPr>
          <w:sz w:val="28"/>
          <w:szCs w:val="28"/>
          <w:lang w:val="ru-RU"/>
        </w:rPr>
        <w:t xml:space="preserve"> полугодии 2023 года.</w:t>
      </w:r>
    </w:p>
    <w:p w:rsidR="00A321C6" w:rsidRDefault="00A321C6">
      <w:pPr>
        <w:tabs>
          <w:tab w:val="left" w:pos="709"/>
          <w:tab w:val="left" w:pos="851"/>
        </w:tabs>
        <w:ind w:right="-1" w:firstLine="709"/>
        <w:jc w:val="both"/>
        <w:rPr>
          <w:b/>
          <w:bCs/>
          <w:color w:val="000000"/>
          <w:spacing w:val="-14"/>
          <w:sz w:val="28"/>
          <w:szCs w:val="28"/>
          <w:lang w:val="ru-RU"/>
        </w:rPr>
      </w:pPr>
    </w:p>
    <w:p w:rsidR="00A321C6" w:rsidRDefault="00843B80">
      <w:pPr>
        <w:tabs>
          <w:tab w:val="left" w:pos="709"/>
          <w:tab w:val="left" w:pos="851"/>
        </w:tabs>
        <w:ind w:right="-1" w:firstLine="709"/>
        <w:jc w:val="center"/>
        <w:rPr>
          <w:bCs/>
          <w:color w:val="000000"/>
          <w:spacing w:val="-14"/>
          <w:sz w:val="28"/>
          <w:szCs w:val="28"/>
          <w:lang w:val="ru-RU"/>
        </w:rPr>
      </w:pPr>
      <w:r>
        <w:rPr>
          <w:b/>
          <w:bCs/>
          <w:color w:val="000000"/>
          <w:spacing w:val="-14"/>
          <w:sz w:val="28"/>
          <w:szCs w:val="28"/>
          <w:lang w:val="ru-RU"/>
        </w:rPr>
        <w:t xml:space="preserve">Штрафы, санкции, возмещение ущерба </w:t>
      </w:r>
      <w:r>
        <w:rPr>
          <w:bCs/>
          <w:color w:val="000000"/>
          <w:spacing w:val="-14"/>
          <w:sz w:val="28"/>
          <w:szCs w:val="28"/>
          <w:lang w:val="ru-RU"/>
        </w:rPr>
        <w:t>(код 1 16 00000 00 0000 000)</w:t>
      </w:r>
    </w:p>
    <w:p w:rsidR="00A321C6" w:rsidRDefault="00843B80">
      <w:pPr>
        <w:widowControl w:val="0"/>
        <w:spacing w:before="24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Поступление платежей, главными администраторами которых являются органы местного самоуправления, в местные бюджеты в 2023 - 2025 годах по кодам бюджетной классификации 1 16 01074 01 0000 140; 1 16 01157 01 0000 140; 1 16 02020 02 0000 140; 1 16 07010 04 0000 140; 1 16 07010 05 0000 140; 1 16 07010 10 0000 140; 1 16 07010 13 0000 140; 1 16 07090 04 0000 140; 1 16 07090 05 0000 140; 1 16 07090 10 0000 140; 1 16 07090 13 0000 140; 1 16 09040 05 0000 140; 1 16 10031 04 0000 140; 1 16 10032 04 0000 140; 1 16 10031 05 0000 140; 1 16 10032 05 0000 140; 1 16 10031 10 0000 140; 1 16 10031 13 0000 140; 1 16 10032 13 0000 140; 1 16 10061 05 0000 140; 1 16 10061 13 0000 140; 1 16 10100 04 0000 140; 1 16 10100 05 0000 140; 1 16 10100 10 0000 140; 1 16 11064 01 0000 140 прогнозируется на уровне ожидаемого поступления доходов в 2022 году, которое рассчитывается на уровне удвоенного фактического поступления доходов в 1-м полугодии 2022 года.</w:t>
      </w:r>
    </w:p>
    <w:p w:rsidR="00A321C6" w:rsidRDefault="00843B80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При получении в расчетах отрицательного значения прогноз поступления штрафов принимается равным нулю.</w:t>
      </w:r>
    </w:p>
    <w:p w:rsidR="00A321C6" w:rsidRDefault="00A321C6">
      <w:pPr>
        <w:rPr>
          <w:sz w:val="28"/>
          <w:szCs w:val="28"/>
          <w:lang w:val="ru-RU" w:eastAsia="ru-RU"/>
        </w:rPr>
      </w:pPr>
    </w:p>
    <w:p w:rsidR="00A321C6" w:rsidRDefault="00A321C6">
      <w:pPr>
        <w:rPr>
          <w:sz w:val="28"/>
          <w:szCs w:val="28"/>
          <w:lang w:val="ru-RU"/>
        </w:rPr>
      </w:pPr>
    </w:p>
    <w:p w:rsidR="00A321C6" w:rsidRDefault="00843B80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Прогнозирование расходов местного бюджета на 2024 год и плановый период 2025 и 2026 годов.</w:t>
      </w:r>
    </w:p>
    <w:p w:rsidR="00A321C6" w:rsidRDefault="00843B80">
      <w:pPr>
        <w:pStyle w:val="ConsPlusNonformat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321C6" w:rsidRDefault="00843B80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основу прогноза расходов областного бюджета положены Федеральные законы от 31 июля 1998 года № 145-ФЗ «Бюджетный кодекс Российской Федерации» (с учетом изменений и дополнений),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(с учетом изменений и дополнений), от 6 октября 2003 года № 131-ФЗ «Об общих принципах организации местного самоуправления в Российской Федерации» (с учетом изменений и дополнений), Послание Президента Российской Федерации Федеральному Собранию Российской Федерации, приказ Министерства финансов Российской Федерации от 6 июня 2019 года № 85-н «О порядке формирования и применении кодов бюджетной классификации Российской Федерации, их структуре и принципах назначения», Основные направления бюджетной и налоговой политики Курской области на 2024 год и на плановый период 2025 и 2026 годов,  приказ Министерства финансов и бюджетного контроля Курской области от 21 августа 2023 года № 143 «</w:t>
      </w:r>
      <w:r>
        <w:rPr>
          <w:rFonts w:ascii="Times New Roman" w:hAnsi="Times New Roman"/>
          <w:bCs/>
          <w:sz w:val="28"/>
          <w:szCs w:val="28"/>
        </w:rPr>
        <w:t>ОБ УТВЕРЖДЕНИИ МЕТОДИКИ ПРОГНОЗИРОВАНИЯ НАЛОГОВЫХ И НЕНАЛОГОВЫХ ДОХОДОВ ОБЛАСТНОГО БЮДЖЕТА И МЕСТНЫХ БЮДЖЕТОВ ДЛЯ ПОСТРОЕНИЯ МЕЖБЮДЖЕТНЫХ ОТНОШЕНИЙ МЕЖДУ ОБЛАСТНЫМ БЮДЖЕТОМ И БЮДЖЕТАМИ МУНИЦИПАЛЬНЫХ ОБРАЗОВАНИЙ НА 2024 - 2026 ГОДЫ»</w:t>
      </w:r>
    </w:p>
    <w:p w:rsidR="00A321C6" w:rsidRDefault="00843B80">
      <w:pPr>
        <w:pStyle w:val="ConsPlusNonformat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Указаний об установлении порядка применения бюджетной классификации Российской Федерации в части, относящейся к областному бюджету и бюджету территориального фонда обязательного медицинского страхования Курской области», а также проект федерального </w:t>
      </w:r>
      <w:r>
        <w:rPr>
          <w:rFonts w:ascii="Times New Roman" w:hAnsi="Times New Roman"/>
          <w:sz w:val="28"/>
          <w:szCs w:val="28"/>
        </w:rPr>
        <w:lastRenderedPageBreak/>
        <w:t>закона «О федеральном бюджете на 2024 год и на плановый период 2025 и 2026 годов».</w:t>
      </w:r>
    </w:p>
    <w:p w:rsidR="00A321C6" w:rsidRDefault="00843B80">
      <w:pPr>
        <w:ind w:firstLine="6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формировании местного бюджета на 2024 год и на плановый период 2025 и 2026 годов приняты уточненные бюджетные ассигнования по состоянию на 01.07.2023г. </w:t>
      </w:r>
    </w:p>
    <w:p w:rsidR="00A321C6" w:rsidRDefault="00843B80">
      <w:pPr>
        <w:ind w:firstLine="6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Планирование объемов на 2024 год и на плановый период 2025 и 2026 годов осуществляется в рамках Муниципальных программ Старороговского сельсовета и непрограммных мероприятий.</w:t>
      </w:r>
    </w:p>
    <w:p w:rsidR="00A321C6" w:rsidRDefault="00A321C6">
      <w:pPr>
        <w:ind w:firstLine="684"/>
        <w:jc w:val="both"/>
        <w:rPr>
          <w:sz w:val="28"/>
          <w:szCs w:val="28"/>
          <w:lang w:val="ru-RU"/>
        </w:rPr>
      </w:pPr>
    </w:p>
    <w:p w:rsidR="00A321C6" w:rsidRDefault="00A321C6">
      <w:pPr>
        <w:ind w:firstLine="684"/>
        <w:jc w:val="both"/>
        <w:rPr>
          <w:sz w:val="28"/>
          <w:szCs w:val="28"/>
          <w:lang w:val="ru-RU"/>
        </w:rPr>
      </w:pPr>
    </w:p>
    <w:p w:rsidR="00A321C6" w:rsidRDefault="00A321C6">
      <w:pPr>
        <w:ind w:firstLine="684"/>
        <w:jc w:val="both"/>
        <w:rPr>
          <w:sz w:val="28"/>
          <w:szCs w:val="28"/>
          <w:lang w:val="ru-RU"/>
        </w:rPr>
      </w:pPr>
    </w:p>
    <w:p w:rsidR="00A321C6" w:rsidRDefault="00A321C6">
      <w:pPr>
        <w:ind w:firstLine="684"/>
        <w:jc w:val="both"/>
        <w:rPr>
          <w:sz w:val="28"/>
          <w:szCs w:val="28"/>
          <w:lang w:val="ru-RU"/>
        </w:rPr>
      </w:pPr>
    </w:p>
    <w:p w:rsidR="00A321C6" w:rsidRDefault="00A321C6">
      <w:pPr>
        <w:ind w:firstLine="684"/>
        <w:jc w:val="both"/>
        <w:rPr>
          <w:sz w:val="28"/>
          <w:szCs w:val="28"/>
          <w:lang w:val="ru-RU"/>
        </w:rPr>
      </w:pPr>
    </w:p>
    <w:p w:rsidR="00A321C6" w:rsidRDefault="00843B8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Общие подходы к планированию расходов местного бюджета на 2024 год и на плановый период 2025 и 2026 годов.</w:t>
      </w:r>
    </w:p>
    <w:p w:rsidR="00A321C6" w:rsidRDefault="00A321C6">
      <w:pPr>
        <w:jc w:val="both"/>
        <w:rPr>
          <w:sz w:val="28"/>
          <w:szCs w:val="28"/>
          <w:lang w:val="ru-RU"/>
        </w:rPr>
      </w:pPr>
    </w:p>
    <w:p w:rsidR="00A321C6" w:rsidRDefault="00843B8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Планирование расходов местного бюджета на 2024 год и на плановый период 2025 и 2026 годов осуществляется в рамках муниципальных программ Администрации Старороговского сельсовета Горшеченского района Курской области и непрограммных мероприятий.</w:t>
      </w:r>
    </w:p>
    <w:p w:rsidR="00A321C6" w:rsidRDefault="00843B8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В основу формирования расходов местного бюджета на 2024 год и на плановый период 2025 и 2026 годов приняты показатели бюджетной росписи  по состоянию на 01.07.2023г.</w:t>
      </w:r>
    </w:p>
    <w:p w:rsidR="00A321C6" w:rsidRDefault="00843B8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При формировании местного бюджета на 2024 год и на плановый период 2025 и 2026 годов исключены расходы, производимые в 2023 году в соответствии с разовыми решениями о финансировании местного бюджета и (или) расходы на реализацию решений, срок действия которых завершается.</w:t>
      </w:r>
    </w:p>
    <w:p w:rsidR="00A321C6" w:rsidRDefault="00A321C6">
      <w:pPr>
        <w:jc w:val="both"/>
        <w:rPr>
          <w:sz w:val="28"/>
          <w:szCs w:val="28"/>
          <w:lang w:val="ru-RU"/>
        </w:rPr>
      </w:pPr>
    </w:p>
    <w:p w:rsidR="00A321C6" w:rsidRDefault="00843B8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Планирование расходов местного бюджета осуществляется на:</w:t>
      </w:r>
    </w:p>
    <w:p w:rsidR="00A321C6" w:rsidRDefault="00A321C6">
      <w:pPr>
        <w:jc w:val="both"/>
        <w:rPr>
          <w:sz w:val="28"/>
          <w:szCs w:val="28"/>
          <w:lang w:val="ru-RU"/>
        </w:rPr>
      </w:pPr>
    </w:p>
    <w:p w:rsidR="00A321C6" w:rsidRDefault="00843B8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оплату труда работников органов государственной власти исходя из  утвержденных структур, действующих на 1 июля 2023 года, нормативных актов Курской области, регулирующих оплату труда;</w:t>
      </w:r>
    </w:p>
    <w:p w:rsidR="00A321C6" w:rsidRDefault="00843B8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осуществление социальных выплат (пособий, компенсаций, доплат, надбавок, дополнительного материального обеспечения, единовременной и ежемесячной выплаты семьям с детьми) и мер социальной поддержки отдельным категориям граждан в соответствии с действующим законодательством исходя из ожидаемой численности получателей, с учетом ее изменения, и размеров выплат;</w:t>
      </w:r>
    </w:p>
    <w:p w:rsidR="00A321C6" w:rsidRDefault="00843B8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текущее содержание органов государственной власти муниципального образования, государственных органов муниципального образования – исходя из общих подходов к расчету бюджетных проектировок, а также установленных для муниципального образования </w:t>
      </w:r>
      <w:r>
        <w:rPr>
          <w:sz w:val="28"/>
          <w:szCs w:val="28"/>
          <w:lang w:val="ru-RU"/>
        </w:rPr>
        <w:lastRenderedPageBreak/>
        <w:t>нормативов формирования расходов на содержание органов государственной власти муниципального образования.</w:t>
      </w:r>
    </w:p>
    <w:p w:rsidR="00A321C6" w:rsidRDefault="00A321C6">
      <w:pPr>
        <w:ind w:firstLine="709"/>
        <w:jc w:val="both"/>
        <w:rPr>
          <w:sz w:val="28"/>
          <w:szCs w:val="28"/>
          <w:lang w:val="ru-RU"/>
        </w:rPr>
      </w:pPr>
    </w:p>
    <w:p w:rsidR="00A321C6" w:rsidRDefault="00843B8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При формировании местного бюджета на 2024 год и на плановый период 2025 и 2026 годов применены общие подходы к расчету бюджетных проектировок:</w:t>
      </w:r>
    </w:p>
    <w:p w:rsidR="00A321C6" w:rsidRDefault="00A321C6">
      <w:pPr>
        <w:jc w:val="both"/>
        <w:rPr>
          <w:sz w:val="28"/>
          <w:szCs w:val="28"/>
          <w:lang w:val="ru-RU"/>
        </w:rPr>
      </w:pPr>
    </w:p>
    <w:p w:rsidR="00A321C6" w:rsidRDefault="00843B80">
      <w:pPr>
        <w:numPr>
          <w:ilvl w:val="0"/>
          <w:numId w:val="3"/>
        </w:numPr>
        <w:ind w:left="16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начислениям на оплату труда в соответствии с установленными тарифами страховых взносов в государственные внебюджетные фонды в размере 30,2%;</w:t>
      </w:r>
    </w:p>
    <w:p w:rsidR="00A321C6" w:rsidRDefault="00843B80">
      <w:pPr>
        <w:numPr>
          <w:ilvl w:val="0"/>
          <w:numId w:val="3"/>
        </w:numPr>
        <w:ind w:left="16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планирование бюджетных ассигнований на исполнение вновь принимаемых обязательств осуществлено в соответствии с основаниями для возникновения расходных обязательств местного бюджета согласно статьям 85 и 174.2 БК РФ, учитывая положения порядка конкурсного распределения принимаемых расходных обязательств местного бюджета (постановление главы сельсовета от 28.12.2012г. №69);</w:t>
      </w:r>
    </w:p>
    <w:p w:rsidR="00A321C6" w:rsidRDefault="00843B80">
      <w:pPr>
        <w:numPr>
          <w:ilvl w:val="0"/>
          <w:numId w:val="3"/>
        </w:numPr>
        <w:ind w:left="16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бюджетные ассигнования, финансовое обеспечение которых осуществляется за счет областного и федерального бюджетов в виде целевых субвенций и субсидий, предусматриваются в объемах, отраженных в проекте Областного закона «Об областном бюджете на 2024 год и на плановый период 2025 и 2026 годов» на момент формирования местного бюджета;</w:t>
      </w:r>
    </w:p>
    <w:p w:rsidR="00A321C6" w:rsidRDefault="00A321C6">
      <w:pPr>
        <w:ind w:left="709"/>
        <w:jc w:val="both"/>
        <w:rPr>
          <w:sz w:val="28"/>
          <w:szCs w:val="28"/>
          <w:lang w:val="ru-RU"/>
        </w:rPr>
      </w:pPr>
    </w:p>
    <w:p w:rsidR="00A321C6" w:rsidRDefault="00A321C6">
      <w:pPr>
        <w:ind w:left="709"/>
        <w:jc w:val="both"/>
        <w:rPr>
          <w:sz w:val="28"/>
          <w:szCs w:val="28"/>
          <w:lang w:val="ru-RU"/>
        </w:rPr>
      </w:pPr>
    </w:p>
    <w:p w:rsidR="00A321C6" w:rsidRDefault="00843B80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</w:p>
    <w:p w:rsidR="00A321C6" w:rsidRDefault="00843B8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Отдельные особенности планирования бюджетных ассигнований местного бюджета</w:t>
      </w:r>
    </w:p>
    <w:p w:rsidR="00A321C6" w:rsidRDefault="00A321C6">
      <w:pPr>
        <w:ind w:firstLine="684"/>
        <w:jc w:val="both"/>
        <w:rPr>
          <w:sz w:val="28"/>
          <w:szCs w:val="28"/>
          <w:lang w:val="ru-RU" w:eastAsia="ru-RU"/>
        </w:rPr>
      </w:pPr>
    </w:p>
    <w:p w:rsidR="00A321C6" w:rsidRDefault="00A321C6">
      <w:pPr>
        <w:rPr>
          <w:sz w:val="28"/>
          <w:szCs w:val="28"/>
          <w:lang w:val="ru-RU"/>
        </w:rPr>
      </w:pPr>
    </w:p>
    <w:p w:rsidR="00A321C6" w:rsidRDefault="00843B8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Подраздел 0102 «Функционирование высшего должностного лица субъекта Российской Федерации и органа местного самоуправления» и Подраздел 0104 «Функционирование Правительства Российской Федерации, высших органов исполнительной власти субъектов Российской Федерации, местных администраций».</w:t>
      </w:r>
    </w:p>
    <w:p w:rsidR="00A321C6" w:rsidRDefault="00A321C6">
      <w:pPr>
        <w:jc w:val="center"/>
        <w:rPr>
          <w:b/>
          <w:sz w:val="28"/>
          <w:szCs w:val="28"/>
          <w:lang w:val="ru-RU"/>
        </w:rPr>
      </w:pPr>
    </w:p>
    <w:p w:rsidR="00A321C6" w:rsidRDefault="00843B80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данным подразделам планируются расходы на содержание глав органов местного самоуправления (0102), на содержание местных администраций (0104).</w:t>
      </w:r>
    </w:p>
    <w:p w:rsidR="00A321C6" w:rsidRDefault="00843B8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>Норматив расходов на содержание органов местного самоуправления на 2024 год  предусмотрен 1300,5 тыс. руб. с численностью населения от 500 до 1000 человек.</w:t>
      </w:r>
    </w:p>
    <w:p w:rsidR="00A321C6" w:rsidRDefault="00A321C6">
      <w:pPr>
        <w:rPr>
          <w:sz w:val="28"/>
          <w:szCs w:val="28"/>
          <w:lang w:val="ru-RU"/>
        </w:rPr>
      </w:pPr>
    </w:p>
    <w:p w:rsidR="00A321C6" w:rsidRDefault="00843B8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Подраздел 0113 «Другие общегосударственные вопросы»</w:t>
      </w:r>
    </w:p>
    <w:p w:rsidR="00A321C6" w:rsidRDefault="00A321C6">
      <w:pPr>
        <w:jc w:val="center"/>
        <w:rPr>
          <w:b/>
          <w:sz w:val="28"/>
          <w:szCs w:val="28"/>
          <w:lang w:val="ru-RU"/>
        </w:rPr>
      </w:pPr>
    </w:p>
    <w:p w:rsidR="00A321C6" w:rsidRDefault="00843B80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По данному подразделу планируются расходы на уплату налога на имущество организаций , приобретение материальных запасов, а также планирование  расходных обязательств поселения для опубликования муниципальных правовых актов, обслуживания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 и иной официальной информации, которые определяются исходя из норматива расходов на периодическую печать и издательство.</w:t>
      </w:r>
    </w:p>
    <w:p w:rsidR="00A321C6" w:rsidRDefault="00A321C6">
      <w:pPr>
        <w:rPr>
          <w:b/>
          <w:sz w:val="28"/>
          <w:szCs w:val="28"/>
          <w:lang w:val="ru-RU"/>
        </w:rPr>
      </w:pPr>
    </w:p>
    <w:p w:rsidR="00A321C6" w:rsidRDefault="00843B8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Подраздел 0310 «Защита населения и территорий от чрезвычайных ситуаций природного и техногенного характера, гражданская оборона».</w:t>
      </w:r>
    </w:p>
    <w:p w:rsidR="00A321C6" w:rsidRDefault="00A321C6">
      <w:pPr>
        <w:jc w:val="center"/>
        <w:rPr>
          <w:b/>
          <w:sz w:val="28"/>
          <w:szCs w:val="28"/>
          <w:lang w:val="ru-RU"/>
        </w:rPr>
      </w:pPr>
    </w:p>
    <w:p w:rsidR="00A321C6" w:rsidRDefault="00843B80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данному подразделу планируются расходы на организацию и осуществление мероприятий по гражданской обороне, защите населения и территорий поселения от чрезвычайных ситуаций, в сумме 40 тыс. рублей на 2024 год и плановый период 2025-2026 года.</w:t>
      </w:r>
    </w:p>
    <w:p w:rsidR="00A321C6" w:rsidRDefault="00A321C6">
      <w:pPr>
        <w:rPr>
          <w:b/>
          <w:sz w:val="28"/>
          <w:szCs w:val="28"/>
          <w:lang w:val="ru-RU"/>
        </w:rPr>
      </w:pPr>
    </w:p>
    <w:p w:rsidR="00A321C6" w:rsidRDefault="00843B8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Подраздел 0310 «Обеспечение пожарной безопасности».</w:t>
      </w:r>
    </w:p>
    <w:p w:rsidR="00A321C6" w:rsidRDefault="00A321C6">
      <w:pPr>
        <w:jc w:val="center"/>
        <w:rPr>
          <w:b/>
          <w:sz w:val="28"/>
          <w:szCs w:val="28"/>
          <w:lang w:val="ru-RU"/>
        </w:rPr>
      </w:pPr>
    </w:p>
    <w:p w:rsidR="00A321C6" w:rsidRDefault="00843B80">
      <w:pPr>
        <w:ind w:firstLine="708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Расходы на обеспечение первичных мер пожарной безопасности в границах населенных пунктов муниципального образования, а также на создание условий для развития и обеспечения деятельности добровольных пожарных и общественных объединений пожарной охраны, в том числе мероприятия по приобретению пожарно-технического вооружения, пожарно-технического оборудования, средств оперативной связи, снаряжения, боевой одежды, вещевого имущества с целью дальнейшей передачи общественным объединениям пожарной охраны, добровольным пожарным</w:t>
      </w:r>
    </w:p>
    <w:p w:rsidR="00A321C6" w:rsidRDefault="00843B80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данному подразделу планируются расходы поселений на обеспечение мер пожарной безопасности в границах населенных пунктов в сумме 40 тыс. рублей на 2024 год и плановый период 2025-2026 года.</w:t>
      </w:r>
    </w:p>
    <w:p w:rsidR="00A321C6" w:rsidRDefault="00A321C6">
      <w:pPr>
        <w:rPr>
          <w:sz w:val="28"/>
          <w:szCs w:val="28"/>
          <w:lang w:val="ru-RU"/>
        </w:rPr>
      </w:pPr>
    </w:p>
    <w:p w:rsidR="00A321C6" w:rsidRDefault="00843B8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Подраздел 0412 «Другие вопросы в области национальной экономики»</w:t>
      </w:r>
    </w:p>
    <w:p w:rsidR="00A321C6" w:rsidRDefault="00A321C6">
      <w:pPr>
        <w:rPr>
          <w:b/>
          <w:sz w:val="28"/>
          <w:szCs w:val="28"/>
          <w:lang w:val="ru-RU"/>
        </w:rPr>
      </w:pPr>
    </w:p>
    <w:p w:rsidR="00A321C6" w:rsidRDefault="00843B80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данному подразделу планируются расходы на финансирование мероприятий по выполнению программы энергосбережения на очередной финансовый год и плановый период в сумме 40 тыс. рублей и плановый период в сумме 40 тыс. рублей</w:t>
      </w:r>
    </w:p>
    <w:p w:rsidR="00A321C6" w:rsidRDefault="00A321C6">
      <w:pPr>
        <w:ind w:firstLine="708"/>
        <w:jc w:val="both"/>
        <w:rPr>
          <w:sz w:val="28"/>
          <w:szCs w:val="28"/>
          <w:lang w:val="ru-RU"/>
        </w:rPr>
      </w:pPr>
    </w:p>
    <w:p w:rsidR="00A321C6" w:rsidRDefault="00843B8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Подраздел 0503 «Благоустройство»</w:t>
      </w:r>
    </w:p>
    <w:p w:rsidR="00A321C6" w:rsidRDefault="00A321C6">
      <w:pPr>
        <w:rPr>
          <w:b/>
          <w:sz w:val="28"/>
          <w:szCs w:val="28"/>
          <w:lang w:val="ru-RU"/>
        </w:rPr>
      </w:pPr>
    </w:p>
    <w:p w:rsidR="00A321C6" w:rsidRDefault="00843B80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По данному подразделу планируются расходы  сельского поселения на благоустройство территории муниципального образования, включая расходы на уличное освещение, озеленение на очередной финансовый год в сумме – 40 тыс.рублей и плановый период в сумме 40 тыс. рублей</w:t>
      </w:r>
    </w:p>
    <w:p w:rsidR="00A321C6" w:rsidRDefault="00A321C6">
      <w:pPr>
        <w:rPr>
          <w:sz w:val="28"/>
          <w:szCs w:val="28"/>
          <w:lang w:val="ru-RU"/>
        </w:rPr>
      </w:pPr>
    </w:p>
    <w:p w:rsidR="00A321C6" w:rsidRDefault="00A321C6">
      <w:pPr>
        <w:rPr>
          <w:b/>
          <w:sz w:val="28"/>
          <w:szCs w:val="28"/>
          <w:lang w:val="ru-RU"/>
        </w:rPr>
      </w:pPr>
    </w:p>
    <w:p w:rsidR="00A321C6" w:rsidRDefault="00A321C6">
      <w:pPr>
        <w:rPr>
          <w:b/>
          <w:sz w:val="28"/>
          <w:szCs w:val="28"/>
          <w:lang w:val="ru-RU"/>
        </w:rPr>
      </w:pPr>
    </w:p>
    <w:p w:rsidR="00A321C6" w:rsidRDefault="00843B8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Подраздел 1001 « Пенсионное обеспечение»</w:t>
      </w:r>
    </w:p>
    <w:p w:rsidR="00A321C6" w:rsidRDefault="00A321C6">
      <w:pPr>
        <w:jc w:val="center"/>
        <w:rPr>
          <w:b/>
          <w:sz w:val="28"/>
          <w:szCs w:val="28"/>
          <w:lang w:val="ru-RU"/>
        </w:rPr>
      </w:pPr>
    </w:p>
    <w:p w:rsidR="00A321C6" w:rsidRDefault="00843B80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данному подразделу планируются расходы местных бюджетов на выплату пенсий за выслугу лет и доплаты к пенсии муниципальным служащим, объем которых на 2024 год и очередной финансовый год и плановый период 2025-2026 год планируется, исходя из численности получателей по состоянию на 01.07.2023 г. и среднего размера выплат на одного получателя, определенного по кассовым расходам на указанные цели по состоянию на 01.07.2023 г., по предоставлению ежемесячно справок с пенсионного фонда.</w:t>
      </w:r>
    </w:p>
    <w:p w:rsidR="00A321C6" w:rsidRDefault="00A321C6">
      <w:pPr>
        <w:ind w:right="-1" w:firstLine="851"/>
        <w:jc w:val="both"/>
        <w:rPr>
          <w:color w:val="000000"/>
          <w:sz w:val="28"/>
          <w:szCs w:val="28"/>
          <w:lang w:val="ru-RU"/>
        </w:rPr>
      </w:pPr>
    </w:p>
    <w:sectPr w:rsidR="00A321C6" w:rsidSect="006C31FC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EC1" w:rsidRDefault="00634EC1">
      <w:r>
        <w:separator/>
      </w:r>
    </w:p>
  </w:endnote>
  <w:endnote w:type="continuationSeparator" w:id="0">
    <w:p w:rsidR="00634EC1" w:rsidRDefault="0063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EC1" w:rsidRDefault="00634EC1">
      <w:r>
        <w:separator/>
      </w:r>
    </w:p>
  </w:footnote>
  <w:footnote w:type="continuationSeparator" w:id="0">
    <w:p w:rsidR="00634EC1" w:rsidRDefault="00634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ED7"/>
    <w:multiLevelType w:val="hybridMultilevel"/>
    <w:tmpl w:val="F3D4AE38"/>
    <w:lvl w:ilvl="0" w:tplc="321477E2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 w:tplc="B2C47E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B7844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C42B6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9187E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0EA8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ACD1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45489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C7688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31B6226"/>
    <w:multiLevelType w:val="hybridMultilevel"/>
    <w:tmpl w:val="182E249A"/>
    <w:lvl w:ilvl="0" w:tplc="7EAE7D4C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  <w:lvl w:ilvl="1" w:tplc="65001458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/>
      </w:rPr>
    </w:lvl>
    <w:lvl w:ilvl="2" w:tplc="BB2C2F54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/>
      </w:rPr>
    </w:lvl>
    <w:lvl w:ilvl="3" w:tplc="2994933E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/>
      </w:rPr>
    </w:lvl>
    <w:lvl w:ilvl="4" w:tplc="264EEC3C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/>
      </w:rPr>
    </w:lvl>
    <w:lvl w:ilvl="5" w:tplc="5554FC0E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/>
      </w:rPr>
    </w:lvl>
    <w:lvl w:ilvl="6" w:tplc="57EEE05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/>
      </w:rPr>
    </w:lvl>
    <w:lvl w:ilvl="7" w:tplc="ECBC8A10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/>
      </w:rPr>
    </w:lvl>
    <w:lvl w:ilvl="8" w:tplc="0052B3E2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/>
      </w:rPr>
    </w:lvl>
  </w:abstractNum>
  <w:abstractNum w:abstractNumId="2">
    <w:nsid w:val="04821251"/>
    <w:multiLevelType w:val="hybridMultilevel"/>
    <w:tmpl w:val="CFDA5578"/>
    <w:lvl w:ilvl="0" w:tplc="3B9E9A8E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  <w:lvl w:ilvl="1" w:tplc="D7824CA2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/>
      </w:rPr>
    </w:lvl>
    <w:lvl w:ilvl="2" w:tplc="5A24A386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/>
      </w:rPr>
    </w:lvl>
    <w:lvl w:ilvl="3" w:tplc="F2345EB8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/>
      </w:rPr>
    </w:lvl>
    <w:lvl w:ilvl="4" w:tplc="49FE2CE2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/>
      </w:rPr>
    </w:lvl>
    <w:lvl w:ilvl="5" w:tplc="43989BFC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/>
      </w:rPr>
    </w:lvl>
    <w:lvl w:ilvl="6" w:tplc="A1223A18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/>
      </w:rPr>
    </w:lvl>
    <w:lvl w:ilvl="7" w:tplc="2D9C136E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/>
      </w:rPr>
    </w:lvl>
    <w:lvl w:ilvl="8" w:tplc="AC7242F6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/>
      </w:rPr>
    </w:lvl>
  </w:abstractNum>
  <w:abstractNum w:abstractNumId="3">
    <w:nsid w:val="06E64657"/>
    <w:multiLevelType w:val="hybridMultilevel"/>
    <w:tmpl w:val="84DEB7CA"/>
    <w:lvl w:ilvl="0" w:tplc="523C5B62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 w:tplc="44F0F8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644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83866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40D0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7246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8745F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B8C3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BA7C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0A6734A1"/>
    <w:multiLevelType w:val="hybridMultilevel"/>
    <w:tmpl w:val="7C3C7A08"/>
    <w:lvl w:ilvl="0" w:tplc="2B4C786E">
      <w:numFmt w:val="bullet"/>
      <w:lvlText w:val="-"/>
      <w:lvlJc w:val="left"/>
      <w:pPr>
        <w:tabs>
          <w:tab w:val="num" w:pos="1211"/>
        </w:tabs>
        <w:ind w:left="1211" w:hanging="360"/>
      </w:pPr>
    </w:lvl>
    <w:lvl w:ilvl="1" w:tplc="B9325D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37AD1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47079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763E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5CC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F9C1A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B60E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E63E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0BB00C89"/>
    <w:multiLevelType w:val="hybridMultilevel"/>
    <w:tmpl w:val="1A9660CE"/>
    <w:lvl w:ilvl="0" w:tplc="13AE52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F6E11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D98E9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DCF4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763B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FAA9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FE862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D819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3281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0C890B86"/>
    <w:multiLevelType w:val="hybridMultilevel"/>
    <w:tmpl w:val="6E762170"/>
    <w:lvl w:ilvl="0" w:tplc="49688B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5F46E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AC63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D4E9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509D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76E0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E086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1053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E240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A82E62"/>
    <w:multiLevelType w:val="hybridMultilevel"/>
    <w:tmpl w:val="329E675A"/>
    <w:lvl w:ilvl="0" w:tplc="4C86349C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 w:tplc="C26C53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6CED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FCA1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85C81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F3A94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2A14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4C0A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9E44F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11EF35F4"/>
    <w:multiLevelType w:val="hybridMultilevel"/>
    <w:tmpl w:val="356CD4FE"/>
    <w:lvl w:ilvl="0" w:tplc="9FB699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E9453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1EC3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143D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23AFC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07A7D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81ED5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5C646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8849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167534ED"/>
    <w:multiLevelType w:val="hybridMultilevel"/>
    <w:tmpl w:val="39086B8C"/>
    <w:lvl w:ilvl="0" w:tplc="404AB50A"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 w:tplc="B66263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5612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9A8B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842D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AF64F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9D8F8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B48D2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D46FA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184E2C2C"/>
    <w:multiLevelType w:val="hybridMultilevel"/>
    <w:tmpl w:val="7E86551C"/>
    <w:lvl w:ilvl="0" w:tplc="72CA321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B26C6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32E5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34EF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8ECC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1857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4CC65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3017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82371A"/>
    <w:multiLevelType w:val="hybridMultilevel"/>
    <w:tmpl w:val="34BA16B8"/>
    <w:lvl w:ilvl="0" w:tplc="01F8F95E">
      <w:start w:val="1"/>
      <w:numFmt w:val="decimal"/>
      <w:lvlText w:val="%1."/>
      <w:lvlJc w:val="left"/>
      <w:pPr>
        <w:ind w:left="1260" w:hanging="360"/>
      </w:pPr>
    </w:lvl>
    <w:lvl w:ilvl="1" w:tplc="46B4C372">
      <w:start w:val="1"/>
      <w:numFmt w:val="lowerLetter"/>
      <w:lvlText w:val="%2."/>
      <w:lvlJc w:val="left"/>
      <w:pPr>
        <w:ind w:left="1980" w:hanging="360"/>
      </w:pPr>
    </w:lvl>
    <w:lvl w:ilvl="2" w:tplc="93D4BC86">
      <w:start w:val="1"/>
      <w:numFmt w:val="lowerRoman"/>
      <w:lvlText w:val="%3."/>
      <w:lvlJc w:val="right"/>
      <w:pPr>
        <w:ind w:left="2700" w:hanging="180"/>
      </w:pPr>
    </w:lvl>
    <w:lvl w:ilvl="3" w:tplc="FFB8F4D4">
      <w:start w:val="1"/>
      <w:numFmt w:val="decimal"/>
      <w:lvlText w:val="%4."/>
      <w:lvlJc w:val="left"/>
      <w:pPr>
        <w:ind w:left="3420" w:hanging="360"/>
      </w:pPr>
    </w:lvl>
    <w:lvl w:ilvl="4" w:tplc="05E0C962">
      <w:start w:val="1"/>
      <w:numFmt w:val="lowerLetter"/>
      <w:lvlText w:val="%5."/>
      <w:lvlJc w:val="left"/>
      <w:pPr>
        <w:ind w:left="4140" w:hanging="360"/>
      </w:pPr>
    </w:lvl>
    <w:lvl w:ilvl="5" w:tplc="5D82B7AA">
      <w:start w:val="1"/>
      <w:numFmt w:val="lowerRoman"/>
      <w:lvlText w:val="%6."/>
      <w:lvlJc w:val="right"/>
      <w:pPr>
        <w:ind w:left="4860" w:hanging="180"/>
      </w:pPr>
    </w:lvl>
    <w:lvl w:ilvl="6" w:tplc="737CE3D6">
      <w:start w:val="1"/>
      <w:numFmt w:val="decimal"/>
      <w:lvlText w:val="%7."/>
      <w:lvlJc w:val="left"/>
      <w:pPr>
        <w:ind w:left="5580" w:hanging="360"/>
      </w:pPr>
    </w:lvl>
    <w:lvl w:ilvl="7" w:tplc="05A27EEC">
      <w:start w:val="1"/>
      <w:numFmt w:val="lowerLetter"/>
      <w:lvlText w:val="%8."/>
      <w:lvlJc w:val="left"/>
      <w:pPr>
        <w:ind w:left="6300" w:hanging="360"/>
      </w:pPr>
    </w:lvl>
    <w:lvl w:ilvl="8" w:tplc="A7ECB716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1F5701B2"/>
    <w:multiLevelType w:val="hybridMultilevel"/>
    <w:tmpl w:val="54B079EA"/>
    <w:lvl w:ilvl="0" w:tplc="793C788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A34632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6F404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F448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C06F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5A4A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B324C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4C64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A066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21E93176"/>
    <w:multiLevelType w:val="hybridMultilevel"/>
    <w:tmpl w:val="768E80F8"/>
    <w:lvl w:ilvl="0" w:tplc="502E52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DFADB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E6D7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84682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9ECF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44D4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95C2C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950CE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E7A5B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224B4A0B"/>
    <w:multiLevelType w:val="hybridMultilevel"/>
    <w:tmpl w:val="A030CB78"/>
    <w:lvl w:ilvl="0" w:tplc="6FCAFC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76803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A2B4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202F8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B602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BAA33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ED05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F28D3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A6A8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26874AB6"/>
    <w:multiLevelType w:val="hybridMultilevel"/>
    <w:tmpl w:val="E954EA26"/>
    <w:lvl w:ilvl="0" w:tplc="4EC42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6225D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B8E4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B4AB1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9E63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CEC71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0845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A4B5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3A75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2BE829F0"/>
    <w:multiLevelType w:val="hybridMultilevel"/>
    <w:tmpl w:val="0A96917A"/>
    <w:lvl w:ilvl="0" w:tplc="9076690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9912C6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54BA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8BCA5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E10C8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D4806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BCC7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D8AC2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36EFD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35E544E9"/>
    <w:multiLevelType w:val="hybridMultilevel"/>
    <w:tmpl w:val="9D3442E2"/>
    <w:lvl w:ilvl="0" w:tplc="4C0AA9DE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363AD8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5C2AB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A699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6E6C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DDECD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04EAC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38E6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D62D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39FA6EEB"/>
    <w:multiLevelType w:val="hybridMultilevel"/>
    <w:tmpl w:val="F222C9D8"/>
    <w:lvl w:ilvl="0" w:tplc="E8080380">
      <w:start w:val="1"/>
      <w:numFmt w:val="decimal"/>
      <w:lvlText w:val="%1."/>
      <w:lvlJc w:val="left"/>
      <w:pPr>
        <w:tabs>
          <w:tab w:val="num" w:pos="2051"/>
        </w:tabs>
        <w:ind w:left="2051" w:hanging="1200"/>
      </w:pPr>
    </w:lvl>
    <w:lvl w:ilvl="1" w:tplc="8236C57C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AB44C564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2F0C5410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58FE98C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338A9536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B5340F0C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8E5E33A0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D8886774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9">
    <w:nsid w:val="3CE312D4"/>
    <w:multiLevelType w:val="hybridMultilevel"/>
    <w:tmpl w:val="F2DC8B74"/>
    <w:lvl w:ilvl="0" w:tplc="7B18A6F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1416D0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BCEEE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7B8F5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25A30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521A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189C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8F250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34C9A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45587CE2"/>
    <w:multiLevelType w:val="hybridMultilevel"/>
    <w:tmpl w:val="80162B7E"/>
    <w:lvl w:ilvl="0" w:tplc="09741368">
      <w:start w:val="1"/>
      <w:numFmt w:val="decimal"/>
      <w:lvlText w:val="%1)"/>
      <w:lvlJc w:val="left"/>
      <w:pPr>
        <w:tabs>
          <w:tab w:val="num" w:pos="1695"/>
        </w:tabs>
        <w:ind w:left="1695" w:hanging="975"/>
      </w:pPr>
    </w:lvl>
    <w:lvl w:ilvl="1" w:tplc="C5F86C8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B7A332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80A39F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4AA0FA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E0AED4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084C0E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A80D97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00A6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67C4B59"/>
    <w:multiLevelType w:val="hybridMultilevel"/>
    <w:tmpl w:val="CF2EC694"/>
    <w:lvl w:ilvl="0" w:tplc="973E94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2C70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30CC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20E63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D0FA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2C9D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1C462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DE0B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1B2F6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47D4456F"/>
    <w:multiLevelType w:val="hybridMultilevel"/>
    <w:tmpl w:val="013A61A4"/>
    <w:lvl w:ilvl="0" w:tplc="572A4A3C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  <w:lvl w:ilvl="1" w:tplc="2CB0AE48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/>
      </w:rPr>
    </w:lvl>
    <w:lvl w:ilvl="2" w:tplc="7E1C8194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/>
      </w:rPr>
    </w:lvl>
    <w:lvl w:ilvl="3" w:tplc="765C039C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/>
      </w:rPr>
    </w:lvl>
    <w:lvl w:ilvl="4" w:tplc="C9DC7670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/>
      </w:rPr>
    </w:lvl>
    <w:lvl w:ilvl="5" w:tplc="47AAA5D0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/>
      </w:rPr>
    </w:lvl>
    <w:lvl w:ilvl="6" w:tplc="84F63DDE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/>
      </w:rPr>
    </w:lvl>
    <w:lvl w:ilvl="7" w:tplc="E198364E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/>
      </w:rPr>
    </w:lvl>
    <w:lvl w:ilvl="8" w:tplc="CED44F3C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/>
      </w:rPr>
    </w:lvl>
  </w:abstractNum>
  <w:abstractNum w:abstractNumId="23">
    <w:nsid w:val="4812295C"/>
    <w:multiLevelType w:val="hybridMultilevel"/>
    <w:tmpl w:val="DFA2D7EC"/>
    <w:lvl w:ilvl="0" w:tplc="0FCC560E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 w:tplc="E7D09D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0323F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9463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64D6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178AA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5623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806A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D0C0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5B0809BF"/>
    <w:multiLevelType w:val="hybridMultilevel"/>
    <w:tmpl w:val="1DF47820"/>
    <w:lvl w:ilvl="0" w:tplc="CF0A51B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0D7215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E062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9684C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100A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4690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A88F8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AC22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9385C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5DE5579E"/>
    <w:multiLevelType w:val="hybridMultilevel"/>
    <w:tmpl w:val="3920D622"/>
    <w:lvl w:ilvl="0" w:tplc="763AF3C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 w:tplc="A7B44A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116DF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AE2C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1BAA7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CFE4D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6692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33C1D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0289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5E2507F3"/>
    <w:multiLevelType w:val="hybridMultilevel"/>
    <w:tmpl w:val="4016F46C"/>
    <w:lvl w:ilvl="0" w:tplc="5A0026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8AA28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35E64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A6018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41E1B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000CF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68A88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AA05A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316F6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>
    <w:nsid w:val="616A738B"/>
    <w:multiLevelType w:val="hybridMultilevel"/>
    <w:tmpl w:val="E8301ADE"/>
    <w:lvl w:ilvl="0" w:tplc="33103A86">
      <w:start w:val="1"/>
      <w:numFmt w:val="decimal"/>
      <w:lvlText w:val="%1)"/>
      <w:lvlJc w:val="left"/>
      <w:pPr>
        <w:ind w:left="720" w:hanging="360"/>
      </w:pPr>
    </w:lvl>
    <w:lvl w:ilvl="1" w:tplc="8CA4DBA2">
      <w:start w:val="1"/>
      <w:numFmt w:val="lowerLetter"/>
      <w:lvlText w:val="%2."/>
      <w:lvlJc w:val="left"/>
      <w:pPr>
        <w:ind w:left="1440" w:hanging="360"/>
      </w:pPr>
    </w:lvl>
    <w:lvl w:ilvl="2" w:tplc="6826E4DA">
      <w:start w:val="1"/>
      <w:numFmt w:val="lowerRoman"/>
      <w:lvlText w:val="%3."/>
      <w:lvlJc w:val="right"/>
      <w:pPr>
        <w:ind w:left="2160" w:hanging="180"/>
      </w:pPr>
    </w:lvl>
    <w:lvl w:ilvl="3" w:tplc="FE466500">
      <w:start w:val="1"/>
      <w:numFmt w:val="decimal"/>
      <w:lvlText w:val="%4."/>
      <w:lvlJc w:val="left"/>
      <w:pPr>
        <w:ind w:left="2880" w:hanging="360"/>
      </w:pPr>
    </w:lvl>
    <w:lvl w:ilvl="4" w:tplc="245E8242">
      <w:start w:val="1"/>
      <w:numFmt w:val="lowerLetter"/>
      <w:lvlText w:val="%5."/>
      <w:lvlJc w:val="left"/>
      <w:pPr>
        <w:ind w:left="3600" w:hanging="360"/>
      </w:pPr>
    </w:lvl>
    <w:lvl w:ilvl="5" w:tplc="A7E23990">
      <w:start w:val="1"/>
      <w:numFmt w:val="lowerRoman"/>
      <w:lvlText w:val="%6."/>
      <w:lvlJc w:val="right"/>
      <w:pPr>
        <w:ind w:left="4320" w:hanging="180"/>
      </w:pPr>
    </w:lvl>
    <w:lvl w:ilvl="6" w:tplc="9AEA9F2E">
      <w:start w:val="1"/>
      <w:numFmt w:val="decimal"/>
      <w:lvlText w:val="%7."/>
      <w:lvlJc w:val="left"/>
      <w:pPr>
        <w:ind w:left="5040" w:hanging="360"/>
      </w:pPr>
    </w:lvl>
    <w:lvl w:ilvl="7" w:tplc="1C321666">
      <w:start w:val="1"/>
      <w:numFmt w:val="lowerLetter"/>
      <w:lvlText w:val="%8."/>
      <w:lvlJc w:val="left"/>
      <w:pPr>
        <w:ind w:left="5760" w:hanging="360"/>
      </w:pPr>
    </w:lvl>
    <w:lvl w:ilvl="8" w:tplc="CF6C1BF4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D6086E"/>
    <w:multiLevelType w:val="hybridMultilevel"/>
    <w:tmpl w:val="408CBD46"/>
    <w:lvl w:ilvl="0" w:tplc="D3201F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4B057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42DA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044E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5E2F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5D03B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40A68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9066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D4C3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6D8C6B59"/>
    <w:multiLevelType w:val="hybridMultilevel"/>
    <w:tmpl w:val="F63ABF3A"/>
    <w:lvl w:ilvl="0" w:tplc="A6963CB0">
      <w:start w:val="1"/>
      <w:numFmt w:val="decimal"/>
      <w:lvlText w:val="%1."/>
      <w:lvlJc w:val="left"/>
      <w:pPr>
        <w:ind w:left="1211" w:hanging="360"/>
      </w:pPr>
    </w:lvl>
    <w:lvl w:ilvl="1" w:tplc="820EED70">
      <w:start w:val="1"/>
      <w:numFmt w:val="lowerLetter"/>
      <w:lvlText w:val="%2."/>
      <w:lvlJc w:val="left"/>
      <w:pPr>
        <w:ind w:left="1931" w:hanging="360"/>
      </w:pPr>
    </w:lvl>
    <w:lvl w:ilvl="2" w:tplc="62E0C742">
      <w:start w:val="1"/>
      <w:numFmt w:val="lowerRoman"/>
      <w:lvlText w:val="%3."/>
      <w:lvlJc w:val="right"/>
      <w:pPr>
        <w:ind w:left="2651" w:hanging="180"/>
      </w:pPr>
    </w:lvl>
    <w:lvl w:ilvl="3" w:tplc="C77686DC">
      <w:start w:val="1"/>
      <w:numFmt w:val="decimal"/>
      <w:lvlText w:val="%4."/>
      <w:lvlJc w:val="left"/>
      <w:pPr>
        <w:ind w:left="3371" w:hanging="360"/>
      </w:pPr>
    </w:lvl>
    <w:lvl w:ilvl="4" w:tplc="1B40BC9E">
      <w:start w:val="1"/>
      <w:numFmt w:val="lowerLetter"/>
      <w:lvlText w:val="%5."/>
      <w:lvlJc w:val="left"/>
      <w:pPr>
        <w:ind w:left="4091" w:hanging="360"/>
      </w:pPr>
    </w:lvl>
    <w:lvl w:ilvl="5" w:tplc="6B7AC90C">
      <w:start w:val="1"/>
      <w:numFmt w:val="lowerRoman"/>
      <w:lvlText w:val="%6."/>
      <w:lvlJc w:val="right"/>
      <w:pPr>
        <w:ind w:left="4811" w:hanging="180"/>
      </w:pPr>
    </w:lvl>
    <w:lvl w:ilvl="6" w:tplc="48B8440E">
      <w:start w:val="1"/>
      <w:numFmt w:val="decimal"/>
      <w:lvlText w:val="%7."/>
      <w:lvlJc w:val="left"/>
      <w:pPr>
        <w:ind w:left="5531" w:hanging="360"/>
      </w:pPr>
    </w:lvl>
    <w:lvl w:ilvl="7" w:tplc="204A2BE4">
      <w:start w:val="1"/>
      <w:numFmt w:val="lowerLetter"/>
      <w:lvlText w:val="%8."/>
      <w:lvlJc w:val="left"/>
      <w:pPr>
        <w:ind w:left="6251" w:hanging="360"/>
      </w:pPr>
    </w:lvl>
    <w:lvl w:ilvl="8" w:tplc="25884616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12B47AF"/>
    <w:multiLevelType w:val="hybridMultilevel"/>
    <w:tmpl w:val="9A66C2C4"/>
    <w:lvl w:ilvl="0" w:tplc="62E4501E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 w:tplc="ED1601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AE8CC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03E70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FA45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B9425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4EB3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5C6C0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5C841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>
    <w:nsid w:val="713F530E"/>
    <w:multiLevelType w:val="hybridMultilevel"/>
    <w:tmpl w:val="02363B42"/>
    <w:lvl w:ilvl="0" w:tplc="C4D4A262">
      <w:start w:val="1"/>
      <w:numFmt w:val="decimal"/>
      <w:lvlText w:val="%1."/>
      <w:lvlJc w:val="left"/>
      <w:pPr>
        <w:ind w:left="1211" w:hanging="360"/>
      </w:pPr>
    </w:lvl>
    <w:lvl w:ilvl="1" w:tplc="2B4EAF38">
      <w:start w:val="1"/>
      <w:numFmt w:val="lowerLetter"/>
      <w:lvlText w:val="%2."/>
      <w:lvlJc w:val="left"/>
      <w:pPr>
        <w:ind w:left="1931" w:hanging="360"/>
      </w:pPr>
    </w:lvl>
    <w:lvl w:ilvl="2" w:tplc="AD2043A4">
      <w:start w:val="1"/>
      <w:numFmt w:val="lowerRoman"/>
      <w:lvlText w:val="%3."/>
      <w:lvlJc w:val="right"/>
      <w:pPr>
        <w:ind w:left="2651" w:hanging="180"/>
      </w:pPr>
    </w:lvl>
    <w:lvl w:ilvl="3" w:tplc="7BAE526C">
      <w:start w:val="1"/>
      <w:numFmt w:val="decimal"/>
      <w:lvlText w:val="%4."/>
      <w:lvlJc w:val="left"/>
      <w:pPr>
        <w:ind w:left="3371" w:hanging="360"/>
      </w:pPr>
    </w:lvl>
    <w:lvl w:ilvl="4" w:tplc="6E08C474">
      <w:start w:val="1"/>
      <w:numFmt w:val="lowerLetter"/>
      <w:lvlText w:val="%5."/>
      <w:lvlJc w:val="left"/>
      <w:pPr>
        <w:ind w:left="4091" w:hanging="360"/>
      </w:pPr>
    </w:lvl>
    <w:lvl w:ilvl="5" w:tplc="467A0482">
      <w:start w:val="1"/>
      <w:numFmt w:val="lowerRoman"/>
      <w:lvlText w:val="%6."/>
      <w:lvlJc w:val="right"/>
      <w:pPr>
        <w:ind w:left="4811" w:hanging="180"/>
      </w:pPr>
    </w:lvl>
    <w:lvl w:ilvl="6" w:tplc="3A4AB706">
      <w:start w:val="1"/>
      <w:numFmt w:val="decimal"/>
      <w:lvlText w:val="%7."/>
      <w:lvlJc w:val="left"/>
      <w:pPr>
        <w:ind w:left="5531" w:hanging="360"/>
      </w:pPr>
    </w:lvl>
    <w:lvl w:ilvl="7" w:tplc="16C60D90">
      <w:start w:val="1"/>
      <w:numFmt w:val="lowerLetter"/>
      <w:lvlText w:val="%8."/>
      <w:lvlJc w:val="left"/>
      <w:pPr>
        <w:ind w:left="6251" w:hanging="360"/>
      </w:pPr>
    </w:lvl>
    <w:lvl w:ilvl="8" w:tplc="9C0AA1A6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2DF3737"/>
    <w:multiLevelType w:val="hybridMultilevel"/>
    <w:tmpl w:val="E05CC678"/>
    <w:lvl w:ilvl="0" w:tplc="817CFC66">
      <w:start w:val="1"/>
      <w:numFmt w:val="decimal"/>
      <w:lvlText w:val="%1)"/>
      <w:lvlJc w:val="left"/>
      <w:pPr>
        <w:tabs>
          <w:tab w:val="num" w:pos="1695"/>
        </w:tabs>
        <w:ind w:left="1695" w:hanging="975"/>
      </w:pPr>
    </w:lvl>
    <w:lvl w:ilvl="1" w:tplc="792E401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5560C1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EADA8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480388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A0EEE5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E8ABB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9C026D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CA6936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10"/>
  </w:num>
  <w:num w:numId="3">
    <w:abstractNumId w:val="32"/>
  </w:num>
  <w:num w:numId="4">
    <w:abstractNumId w:val="20"/>
  </w:num>
  <w:num w:numId="5">
    <w:abstractNumId w:val="11"/>
  </w:num>
  <w:num w:numId="6">
    <w:abstractNumId w:val="31"/>
  </w:num>
  <w:num w:numId="7">
    <w:abstractNumId w:val="29"/>
  </w:num>
  <w:num w:numId="8">
    <w:abstractNumId w:val="7"/>
  </w:num>
  <w:num w:numId="9">
    <w:abstractNumId w:val="0"/>
  </w:num>
  <w:num w:numId="10">
    <w:abstractNumId w:val="23"/>
  </w:num>
  <w:num w:numId="11">
    <w:abstractNumId w:val="25"/>
  </w:num>
  <w:num w:numId="12">
    <w:abstractNumId w:val="19"/>
  </w:num>
  <w:num w:numId="13">
    <w:abstractNumId w:val="30"/>
  </w:num>
  <w:num w:numId="14">
    <w:abstractNumId w:val="3"/>
  </w:num>
  <w:num w:numId="15">
    <w:abstractNumId w:val="21"/>
  </w:num>
  <w:num w:numId="16">
    <w:abstractNumId w:val="14"/>
  </w:num>
  <w:num w:numId="17">
    <w:abstractNumId w:val="28"/>
  </w:num>
  <w:num w:numId="18">
    <w:abstractNumId w:val="15"/>
  </w:num>
  <w:num w:numId="19">
    <w:abstractNumId w:val="5"/>
  </w:num>
  <w:num w:numId="20">
    <w:abstractNumId w:val="24"/>
  </w:num>
  <w:num w:numId="21">
    <w:abstractNumId w:val="13"/>
  </w:num>
  <w:num w:numId="22">
    <w:abstractNumId w:val="8"/>
  </w:num>
  <w:num w:numId="23">
    <w:abstractNumId w:val="4"/>
  </w:num>
  <w:num w:numId="24">
    <w:abstractNumId w:val="12"/>
  </w:num>
  <w:num w:numId="25">
    <w:abstractNumId w:val="16"/>
  </w:num>
  <w:num w:numId="26">
    <w:abstractNumId w:val="9"/>
  </w:num>
  <w:num w:numId="27">
    <w:abstractNumId w:val="17"/>
  </w:num>
  <w:num w:numId="28">
    <w:abstractNumId w:val="1"/>
  </w:num>
  <w:num w:numId="29">
    <w:abstractNumId w:val="26"/>
  </w:num>
  <w:num w:numId="30">
    <w:abstractNumId w:val="22"/>
  </w:num>
  <w:num w:numId="31">
    <w:abstractNumId w:val="2"/>
  </w:num>
  <w:num w:numId="32">
    <w:abstractNumId w:val="18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1C6"/>
    <w:rsid w:val="00634EC1"/>
    <w:rsid w:val="006C31FC"/>
    <w:rsid w:val="00843B80"/>
    <w:rsid w:val="00936CF7"/>
    <w:rsid w:val="00A3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67E4B-A541-4C51-B836-AA5592D8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pPr>
      <w:keepNext/>
      <w:ind w:firstLine="851"/>
      <w:jc w:val="both"/>
      <w:outlineLvl w:val="0"/>
    </w:pPr>
    <w:rPr>
      <w:sz w:val="28"/>
      <w:szCs w:val="28"/>
      <w:lang w:eastAsia="ru-RU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lang w:eastAsia="ru-RU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lang w:eastAsia="ru-RU"/>
    </w:rPr>
  </w:style>
  <w:style w:type="paragraph" w:styleId="4">
    <w:name w:val="heading 4"/>
    <w:basedOn w:val="a"/>
    <w:next w:val="a"/>
    <w:link w:val="40"/>
    <w:pPr>
      <w:keepNext/>
      <w:ind w:firstLine="851"/>
      <w:jc w:val="both"/>
      <w:outlineLvl w:val="3"/>
    </w:pPr>
    <w:rPr>
      <w:sz w:val="28"/>
      <w:szCs w:val="28"/>
      <w:lang w:eastAsia="ru-RU"/>
    </w:rPr>
  </w:style>
  <w:style w:type="paragraph" w:styleId="5">
    <w:name w:val="heading 5"/>
    <w:basedOn w:val="a"/>
    <w:next w:val="a"/>
    <w:link w:val="50"/>
    <w:pPr>
      <w:keepNext/>
      <w:jc w:val="both"/>
      <w:outlineLvl w:val="4"/>
    </w:pPr>
    <w:rPr>
      <w:sz w:val="28"/>
      <w:szCs w:val="28"/>
      <w:lang w:eastAsia="ru-RU"/>
    </w:rPr>
  </w:style>
  <w:style w:type="paragraph" w:styleId="6">
    <w:name w:val="heading 6"/>
    <w:basedOn w:val="a"/>
    <w:next w:val="a"/>
    <w:link w:val="60"/>
    <w:pPr>
      <w:keepNext/>
      <w:ind w:firstLine="709"/>
      <w:jc w:val="both"/>
      <w:outlineLvl w:val="5"/>
    </w:pPr>
    <w:rPr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pPr>
      <w:keepNext/>
      <w:ind w:firstLine="851"/>
      <w:outlineLvl w:val="6"/>
    </w:pPr>
    <w:rPr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pPr>
      <w:keepNext/>
      <w:outlineLvl w:val="7"/>
    </w:pPr>
    <w:rPr>
      <w:sz w:val="28"/>
      <w:szCs w:val="28"/>
      <w:u w:val="single"/>
      <w:lang w:eastAsia="ru-RU"/>
    </w:rPr>
  </w:style>
  <w:style w:type="paragraph" w:styleId="9">
    <w:name w:val="heading 9"/>
    <w:basedOn w:val="a"/>
    <w:next w:val="a"/>
    <w:link w:val="90"/>
    <w:pPr>
      <w:keepNext/>
      <w:spacing w:after="444"/>
      <w:ind w:left="550"/>
      <w:outlineLvl w:val="8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  <w:jc w:val="center"/>
    </w:pPr>
    <w:rPr>
      <w:rFonts w:ascii="Calibri" w:eastAsia="Calibri" w:hAnsi="Calibri"/>
      <w:sz w:val="22"/>
      <w:szCs w:val="22"/>
      <w:lang w:val="ru-RU"/>
    </w:r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ind w:firstLine="851"/>
      <w:jc w:val="center"/>
    </w:pPr>
    <w:rPr>
      <w:b/>
      <w:bCs/>
      <w:sz w:val="28"/>
      <w:szCs w:val="28"/>
      <w:lang w:val="ru-RU" w:eastAsia="ru-RU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link w:val="a8"/>
    <w:pPr>
      <w:ind w:firstLine="851"/>
      <w:jc w:val="both"/>
    </w:pPr>
    <w:rPr>
      <w:b/>
      <w:bCs/>
      <w:sz w:val="28"/>
      <w:szCs w:val="28"/>
      <w:lang w:eastAsia="ru-RU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8"/>
      <w:szCs w:val="28"/>
      <w:lang w:val="en-US"/>
    </w:rPr>
  </w:style>
  <w:style w:type="character" w:customStyle="1" w:styleId="20">
    <w:name w:val="Заголовок 2 Знак"/>
    <w:link w:val="2"/>
    <w:rPr>
      <w:sz w:val="24"/>
      <w:szCs w:val="24"/>
      <w:lang w:val="en-US"/>
    </w:rPr>
  </w:style>
  <w:style w:type="character" w:customStyle="1" w:styleId="30">
    <w:name w:val="Заголовок 3 Знак"/>
    <w:link w:val="3"/>
    <w:rPr>
      <w:sz w:val="24"/>
      <w:szCs w:val="24"/>
      <w:lang w:val="en-US"/>
    </w:rPr>
  </w:style>
  <w:style w:type="character" w:customStyle="1" w:styleId="40">
    <w:name w:val="Заголовок 4 Знак"/>
    <w:link w:val="4"/>
    <w:rPr>
      <w:sz w:val="28"/>
      <w:szCs w:val="28"/>
      <w:lang w:val="en-US"/>
    </w:rPr>
  </w:style>
  <w:style w:type="character" w:customStyle="1" w:styleId="50">
    <w:name w:val="Заголовок 5 Знак"/>
    <w:link w:val="5"/>
    <w:rPr>
      <w:sz w:val="28"/>
      <w:szCs w:val="28"/>
      <w:lang w:val="en-US"/>
    </w:rPr>
  </w:style>
  <w:style w:type="character" w:customStyle="1" w:styleId="60">
    <w:name w:val="Заголовок 6 Знак"/>
    <w:link w:val="6"/>
    <w:rPr>
      <w:b/>
      <w:bCs/>
      <w:sz w:val="28"/>
      <w:szCs w:val="28"/>
      <w:lang w:val="en-US"/>
    </w:rPr>
  </w:style>
  <w:style w:type="character" w:customStyle="1" w:styleId="70">
    <w:name w:val="Заголовок 7 Знак"/>
    <w:link w:val="7"/>
    <w:rPr>
      <w:b/>
      <w:bCs/>
      <w:sz w:val="28"/>
      <w:szCs w:val="28"/>
      <w:lang w:val="en-US"/>
    </w:rPr>
  </w:style>
  <w:style w:type="character" w:customStyle="1" w:styleId="80">
    <w:name w:val="Заголовок 8 Знак"/>
    <w:link w:val="8"/>
    <w:rPr>
      <w:sz w:val="28"/>
      <w:szCs w:val="28"/>
      <w:u w:val="single"/>
      <w:lang w:val="en-US"/>
    </w:rPr>
  </w:style>
  <w:style w:type="character" w:customStyle="1" w:styleId="90">
    <w:name w:val="Заголовок 9 Знак"/>
    <w:link w:val="9"/>
    <w:rPr>
      <w:b/>
      <w:bCs/>
      <w:sz w:val="24"/>
      <w:szCs w:val="24"/>
      <w:lang w:val="en-US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lang w:eastAsia="en-US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bCs/>
      <w:sz w:val="16"/>
      <w:szCs w:val="16"/>
      <w:lang w:eastAsia="en-US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lang w:eastAsia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customStyle="1" w:styleId="ConsPlusNonformat">
    <w:name w:val="ConsPlusNonformat"/>
    <w:rPr>
      <w:rFonts w:ascii="Courier New" w:hAnsi="Courier New"/>
      <w:lang w:eastAsia="ru-RU"/>
    </w:rPr>
  </w:style>
  <w:style w:type="character" w:customStyle="1" w:styleId="a6">
    <w:name w:val="Название Знак"/>
    <w:link w:val="a5"/>
    <w:rPr>
      <w:b/>
      <w:bCs/>
      <w:sz w:val="28"/>
      <w:szCs w:val="28"/>
      <w:lang w:val="ru-RU" w:eastAsia="ru-RU" w:bidi="ar-SA"/>
    </w:rPr>
  </w:style>
  <w:style w:type="paragraph" w:styleId="afa">
    <w:name w:val="Balloon Text"/>
    <w:basedOn w:val="a"/>
    <w:link w:val="afb"/>
    <w:rPr>
      <w:rFonts w:ascii="Segoe UI" w:hAnsi="Segoe UI"/>
      <w:sz w:val="18"/>
      <w:szCs w:val="18"/>
    </w:rPr>
  </w:style>
  <w:style w:type="character" w:customStyle="1" w:styleId="afb">
    <w:name w:val="Текст выноски Знак"/>
    <w:link w:val="afa"/>
    <w:rPr>
      <w:rFonts w:ascii="Segoe UI" w:hAnsi="Segoe UI"/>
      <w:sz w:val="18"/>
      <w:szCs w:val="18"/>
      <w:lang w:val="en-US" w:eastAsia="en-US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lang w:eastAsia="ru-RU"/>
    </w:rPr>
  </w:style>
  <w:style w:type="character" w:customStyle="1" w:styleId="ac">
    <w:name w:val="Верхний колонтитул Знак"/>
    <w:link w:val="ab"/>
    <w:rPr>
      <w:sz w:val="24"/>
      <w:szCs w:val="24"/>
      <w:lang w:val="en-US"/>
    </w:rPr>
  </w:style>
  <w:style w:type="character" w:customStyle="1" w:styleId="ae">
    <w:name w:val="Нижний колонтитул Знак"/>
    <w:link w:val="ad"/>
    <w:rPr>
      <w:sz w:val="24"/>
      <w:szCs w:val="24"/>
      <w:lang w:val="en-US"/>
    </w:rPr>
  </w:style>
  <w:style w:type="paragraph" w:styleId="afc">
    <w:name w:val="Body Text Indent"/>
    <w:basedOn w:val="a"/>
    <w:link w:val="afd"/>
    <w:pPr>
      <w:ind w:firstLine="720"/>
      <w:jc w:val="both"/>
    </w:pPr>
    <w:rPr>
      <w:sz w:val="28"/>
      <w:szCs w:val="28"/>
      <w:lang w:eastAsia="ru-RU"/>
    </w:rPr>
  </w:style>
  <w:style w:type="character" w:customStyle="1" w:styleId="afd">
    <w:name w:val="Основной текст с отступом Знак"/>
    <w:link w:val="afc"/>
    <w:rPr>
      <w:sz w:val="28"/>
      <w:szCs w:val="28"/>
      <w:lang w:val="en-US"/>
    </w:rPr>
  </w:style>
  <w:style w:type="paragraph" w:styleId="afe">
    <w:name w:val="Body Text"/>
    <w:basedOn w:val="a"/>
    <w:link w:val="aff"/>
    <w:pPr>
      <w:jc w:val="both"/>
    </w:pPr>
    <w:rPr>
      <w:sz w:val="28"/>
      <w:szCs w:val="28"/>
      <w:lang w:eastAsia="ru-RU"/>
    </w:rPr>
  </w:style>
  <w:style w:type="character" w:customStyle="1" w:styleId="aff">
    <w:name w:val="Основной текст Знак"/>
    <w:link w:val="afe"/>
    <w:rPr>
      <w:sz w:val="28"/>
      <w:szCs w:val="28"/>
      <w:lang w:val="en-US"/>
    </w:rPr>
  </w:style>
  <w:style w:type="character" w:customStyle="1" w:styleId="a8">
    <w:name w:val="Подзаголовок Знак"/>
    <w:link w:val="a7"/>
    <w:rPr>
      <w:b/>
      <w:bCs/>
      <w:sz w:val="28"/>
      <w:szCs w:val="28"/>
      <w:lang w:val="en-US"/>
    </w:rPr>
  </w:style>
  <w:style w:type="paragraph" w:styleId="25">
    <w:name w:val="Body Text Indent 2"/>
    <w:basedOn w:val="a"/>
    <w:link w:val="26"/>
    <w:pPr>
      <w:ind w:firstLine="709"/>
    </w:pPr>
    <w:rPr>
      <w:sz w:val="28"/>
      <w:szCs w:val="28"/>
      <w:lang w:eastAsia="ru-RU"/>
    </w:rPr>
  </w:style>
  <w:style w:type="character" w:customStyle="1" w:styleId="26">
    <w:name w:val="Основной текст с отступом 2 Знак"/>
    <w:link w:val="25"/>
    <w:rPr>
      <w:sz w:val="28"/>
      <w:szCs w:val="28"/>
      <w:lang w:val="en-US"/>
    </w:rPr>
  </w:style>
  <w:style w:type="paragraph" w:styleId="aff0">
    <w:name w:val="Plain Text"/>
    <w:basedOn w:val="a"/>
    <w:link w:val="aff1"/>
    <w:rPr>
      <w:rFonts w:ascii="Courier New" w:hAnsi="Courier New"/>
      <w:sz w:val="20"/>
      <w:szCs w:val="20"/>
      <w:lang w:eastAsia="ru-RU"/>
    </w:rPr>
  </w:style>
  <w:style w:type="character" w:customStyle="1" w:styleId="aff1">
    <w:name w:val="Текст Знак"/>
    <w:link w:val="aff0"/>
    <w:rPr>
      <w:rFonts w:ascii="Courier New" w:hAnsi="Courier New"/>
      <w:lang w:val="en-US"/>
    </w:rPr>
  </w:style>
  <w:style w:type="paragraph" w:styleId="33">
    <w:name w:val="Body Text Indent 3"/>
    <w:basedOn w:val="a"/>
    <w:link w:val="34"/>
    <w:pPr>
      <w:ind w:firstLine="851"/>
      <w:jc w:val="both"/>
    </w:pPr>
    <w:rPr>
      <w:sz w:val="28"/>
      <w:szCs w:val="28"/>
      <w:lang w:eastAsia="ru-RU"/>
    </w:rPr>
  </w:style>
  <w:style w:type="character" w:customStyle="1" w:styleId="34">
    <w:name w:val="Основной текст с отступом 3 Знак"/>
    <w:link w:val="33"/>
    <w:rPr>
      <w:sz w:val="28"/>
      <w:szCs w:val="28"/>
      <w:lang w:val="en-US"/>
    </w:rPr>
  </w:style>
  <w:style w:type="paragraph" w:customStyle="1" w:styleId="5ebd2">
    <w:name w:val="Ос5ebdовной текст 2"/>
    <w:basedOn w:val="a"/>
    <w:pPr>
      <w:widowControl w:val="0"/>
      <w:ind w:firstLine="851"/>
      <w:jc w:val="both"/>
    </w:pPr>
    <w:rPr>
      <w:sz w:val="28"/>
      <w:szCs w:val="28"/>
      <w:lang w:eastAsia="ru-RU"/>
    </w:rPr>
  </w:style>
  <w:style w:type="paragraph" w:styleId="35">
    <w:name w:val="Body Text 3"/>
    <w:basedOn w:val="a"/>
    <w:link w:val="36"/>
    <w:pPr>
      <w:jc w:val="both"/>
    </w:pPr>
    <w:rPr>
      <w:sz w:val="28"/>
      <w:szCs w:val="28"/>
      <w:lang w:eastAsia="ru-RU"/>
    </w:rPr>
  </w:style>
  <w:style w:type="character" w:customStyle="1" w:styleId="36">
    <w:name w:val="Основной текст 3 Знак"/>
    <w:link w:val="35"/>
    <w:rPr>
      <w:sz w:val="28"/>
      <w:szCs w:val="28"/>
      <w:lang w:val="en-US"/>
    </w:rPr>
  </w:style>
  <w:style w:type="paragraph" w:styleId="aff2">
    <w:name w:val="Block Text"/>
    <w:basedOn w:val="a"/>
    <w:pPr>
      <w:ind w:left="851" w:right="566"/>
      <w:jc w:val="both"/>
    </w:pPr>
    <w:rPr>
      <w:b/>
      <w:bCs/>
      <w:sz w:val="28"/>
      <w:szCs w:val="28"/>
      <w:u w:val="single"/>
      <w:lang w:val="ru-RU" w:eastAsia="ru-RU"/>
    </w:rPr>
  </w:style>
  <w:style w:type="character" w:styleId="aff3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436&amp;date=05.10.2022&amp;dst=10877&amp;fie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2436&amp;date=05.10.2022&amp;dst=3019&amp;field=134" TargetMode="External"/><Relationship Id="rId12" Type="http://schemas.openxmlformats.org/officeDocument/2006/relationships/hyperlink" Target="https://login.consultant.ru/link/?req=doc&amp;base=LAW&amp;n=422436&amp;date=05.10.2022&amp;dst=10877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22436&amp;date=05.10.2022&amp;dst=101491&amp;field=13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22436&amp;date=05.10.2022&amp;dst=3019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2436&amp;date=05.10.2022&amp;dst=101491&amp;fie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2960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dcterms:created xsi:type="dcterms:W3CDTF">2023-12-04T12:05:00Z</dcterms:created>
  <dcterms:modified xsi:type="dcterms:W3CDTF">2023-12-04T12:25:00Z</dcterms:modified>
</cp:coreProperties>
</file>